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02661" w14:textId="77777777" w:rsidR="007D6142" w:rsidRPr="007F6EF3" w:rsidRDefault="007D6142" w:rsidP="00265B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6EF3">
        <w:rPr>
          <w:rFonts w:ascii="Arial" w:hAnsi="Arial" w:cs="Arial"/>
          <w:b/>
          <w:sz w:val="24"/>
          <w:szCs w:val="24"/>
        </w:rPr>
        <w:t xml:space="preserve">Vyhodnotenie </w:t>
      </w:r>
      <w:r w:rsidR="006B6004" w:rsidRPr="007F6EF3">
        <w:rPr>
          <w:rFonts w:ascii="Arial" w:hAnsi="Arial" w:cs="Arial"/>
          <w:b/>
          <w:sz w:val="24"/>
          <w:szCs w:val="24"/>
        </w:rPr>
        <w:t>pripomienok</w:t>
      </w:r>
      <w:r w:rsidR="00C82D04" w:rsidRPr="007F6EF3">
        <w:rPr>
          <w:rFonts w:ascii="Arial" w:hAnsi="Arial" w:cs="Arial"/>
          <w:b/>
          <w:sz w:val="24"/>
          <w:szCs w:val="24"/>
        </w:rPr>
        <w:t xml:space="preserve"> </w:t>
      </w:r>
      <w:r w:rsidR="003A6102" w:rsidRPr="007F6EF3">
        <w:rPr>
          <w:rFonts w:ascii="Arial" w:hAnsi="Arial" w:cs="Arial"/>
          <w:b/>
          <w:sz w:val="24"/>
          <w:szCs w:val="24"/>
        </w:rPr>
        <w:t>z</w:t>
      </w:r>
      <w:r w:rsidR="00145189" w:rsidRPr="007F6EF3">
        <w:rPr>
          <w:rFonts w:ascii="Arial" w:hAnsi="Arial" w:cs="Arial"/>
          <w:b/>
          <w:sz w:val="24"/>
          <w:szCs w:val="24"/>
          <w:lang w:bidi="hi-IN"/>
        </w:rPr>
        <w:t> verejnej konzultácie</w:t>
      </w:r>
      <w:r w:rsidRPr="007F6EF3">
        <w:rPr>
          <w:rFonts w:ascii="Arial" w:hAnsi="Arial" w:cs="Arial"/>
          <w:b/>
          <w:sz w:val="24"/>
          <w:szCs w:val="24"/>
        </w:rPr>
        <w:t xml:space="preserve"> </w:t>
      </w:r>
    </w:p>
    <w:p w14:paraId="4009080F" w14:textId="7AC4A6F2" w:rsidR="007755BD" w:rsidRPr="007F6EF3" w:rsidRDefault="007755BD" w:rsidP="00265BD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riekatabuky"/>
        <w:tblW w:w="13711" w:type="dxa"/>
        <w:tblInd w:w="5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886"/>
        <w:gridCol w:w="2974"/>
        <w:gridCol w:w="4825"/>
        <w:gridCol w:w="2088"/>
      </w:tblGrid>
      <w:tr w:rsidR="008338EB" w:rsidRPr="007F6EF3" w14:paraId="23B168F5" w14:textId="77777777" w:rsidTr="00C75826">
        <w:trPr>
          <w:trHeight w:val="402"/>
        </w:trPr>
        <w:tc>
          <w:tcPr>
            <w:tcW w:w="13711" w:type="dxa"/>
            <w:gridSpan w:val="5"/>
            <w:tcBorders>
              <w:top w:val="nil"/>
              <w:left w:val="nil"/>
              <w:bottom w:val="single" w:sz="4" w:space="0" w:color="806000" w:themeColor="accent4" w:themeShade="80"/>
              <w:right w:val="nil"/>
            </w:tcBorders>
            <w:shd w:val="clear" w:color="auto" w:fill="FFFFFF" w:themeFill="background1"/>
            <w:vAlign w:val="center"/>
          </w:tcPr>
          <w:p w14:paraId="736FD0FD" w14:textId="534C313E" w:rsidR="008338EB" w:rsidRPr="007F6EF3" w:rsidRDefault="008338EB" w:rsidP="00265BDF">
            <w:pPr>
              <w:spacing w:after="0" w:line="240" w:lineRule="auto"/>
              <w:rPr>
                <w:rFonts w:ascii="Arial" w:hAnsi="Arial" w:cs="Arial"/>
                <w:lang w:bidi="hi-IN"/>
              </w:rPr>
            </w:pPr>
            <w:r w:rsidRPr="007F6EF3">
              <w:rPr>
                <w:rFonts w:ascii="Arial" w:hAnsi="Arial" w:cs="Arial"/>
                <w:sz w:val="24"/>
                <w:szCs w:val="24"/>
              </w:rPr>
              <w:t>Zdôvodnenie zapracovania/zamietnutia pripomienok z</w:t>
            </w:r>
            <w:r w:rsidRPr="007F6EF3">
              <w:rPr>
                <w:rFonts w:ascii="Arial" w:hAnsi="Arial" w:cs="Arial"/>
                <w:sz w:val="24"/>
                <w:szCs w:val="24"/>
                <w:lang w:bidi="hi-IN"/>
              </w:rPr>
              <w:t xml:space="preserve"> verejnej konzultácie k</w:t>
            </w:r>
            <w:r w:rsidR="00D20C1B" w:rsidRPr="007F6EF3">
              <w:rPr>
                <w:rFonts w:ascii="Arial" w:hAnsi="Arial" w:cs="Arial"/>
                <w:sz w:val="24"/>
                <w:szCs w:val="24"/>
                <w:lang w:bidi="hi-IN"/>
              </w:rPr>
              <w:t xml:space="preserve"> dokumentu </w:t>
            </w:r>
            <w:r w:rsidR="00D20C1B" w:rsidRPr="007F6EF3">
              <w:rPr>
                <w:rFonts w:ascii="Arial" w:hAnsi="Arial" w:cs="Arial"/>
                <w:i/>
                <w:iCs/>
                <w:sz w:val="24"/>
                <w:szCs w:val="24"/>
                <w:lang w:bidi="hi-IN"/>
              </w:rPr>
              <w:t>„Desaťročný plán rozvoja prenosovej sústavy na roky 2024 až 2033“</w:t>
            </w:r>
            <w:r w:rsidR="007B5A03" w:rsidRPr="007F6E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82D04" w:rsidRPr="007F6EF3" w14:paraId="10AD3E5E" w14:textId="77777777" w:rsidTr="00C75826">
        <w:trPr>
          <w:trHeight w:val="402"/>
        </w:trPr>
        <w:tc>
          <w:tcPr>
            <w:tcW w:w="3824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D5DCE4" w:themeFill="text2" w:themeFillTint="33"/>
            <w:vAlign w:val="center"/>
          </w:tcPr>
          <w:p w14:paraId="404C23B2" w14:textId="0EF44FB1" w:rsidR="00C82D04" w:rsidRPr="007F6EF3" w:rsidRDefault="00C82D04" w:rsidP="00265BDF">
            <w:pPr>
              <w:spacing w:after="0" w:line="240" w:lineRule="auto"/>
              <w:rPr>
                <w:rFonts w:ascii="Arial" w:hAnsi="Arial" w:cs="Arial"/>
                <w:b/>
                <w:lang w:bidi="hi-IN"/>
              </w:rPr>
            </w:pPr>
            <w:r w:rsidRPr="007F6EF3">
              <w:rPr>
                <w:rFonts w:ascii="Arial" w:hAnsi="Arial" w:cs="Arial"/>
                <w:b/>
                <w:lang w:bidi="hi-IN"/>
              </w:rPr>
              <w:t>Informácie o pripomienkujúcom:</w:t>
            </w:r>
          </w:p>
        </w:tc>
        <w:tc>
          <w:tcPr>
            <w:tcW w:w="29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D5DCE4" w:themeFill="text2" w:themeFillTint="33"/>
            <w:vAlign w:val="center"/>
          </w:tcPr>
          <w:p w14:paraId="44022E71" w14:textId="4939135F" w:rsidR="00C82D04" w:rsidRPr="007F6EF3" w:rsidRDefault="00C82D04" w:rsidP="00265BDF">
            <w:pPr>
              <w:spacing w:after="0" w:line="240" w:lineRule="auto"/>
              <w:rPr>
                <w:rFonts w:ascii="Arial" w:hAnsi="Arial" w:cs="Arial"/>
                <w:b/>
                <w:lang w:bidi="hi-IN"/>
              </w:rPr>
            </w:pPr>
            <w:r w:rsidRPr="007F6EF3">
              <w:rPr>
                <w:rFonts w:ascii="Arial" w:hAnsi="Arial" w:cs="Arial"/>
                <w:b/>
                <w:lang w:bidi="hi-IN"/>
              </w:rPr>
              <w:t>Názov a adresa subjektu:</w:t>
            </w:r>
          </w:p>
        </w:tc>
        <w:tc>
          <w:tcPr>
            <w:tcW w:w="691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  <w:vAlign w:val="center"/>
          </w:tcPr>
          <w:p w14:paraId="35F4F023" w14:textId="10AF64DF" w:rsidR="00C82D04" w:rsidRPr="007F6EF3" w:rsidRDefault="009945A0" w:rsidP="00265BDF">
            <w:pPr>
              <w:spacing w:after="0" w:line="240" w:lineRule="auto"/>
              <w:rPr>
                <w:rFonts w:ascii="Arial" w:hAnsi="Arial" w:cs="Arial"/>
                <w:highlight w:val="yellow"/>
                <w:lang w:bidi="hi-IN"/>
              </w:rPr>
            </w:pPr>
            <w:r w:rsidRPr="007F6EF3">
              <w:rPr>
                <w:rFonts w:ascii="Arial" w:hAnsi="Arial" w:cs="Arial"/>
                <w:b/>
                <w:bCs/>
                <w:sz w:val="20"/>
              </w:rPr>
              <w:t>AVES - Asociácia výrobcov elektriny zo slnka</w:t>
            </w:r>
          </w:p>
        </w:tc>
      </w:tr>
      <w:tr w:rsidR="00D53D3B" w:rsidRPr="007F6EF3" w14:paraId="0DE58A7B" w14:textId="77777777" w:rsidTr="00C75826">
        <w:trPr>
          <w:trHeight w:val="1146"/>
        </w:trPr>
        <w:tc>
          <w:tcPr>
            <w:tcW w:w="938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1A12CA9D" w14:textId="79747715" w:rsidR="00C82D04" w:rsidRPr="007F6EF3" w:rsidRDefault="007B5A03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 xml:space="preserve">Čl. </w:t>
            </w:r>
            <w:r w:rsidR="00C82D04"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Ods. (písm.)</w:t>
            </w:r>
          </w:p>
        </w:tc>
        <w:tc>
          <w:tcPr>
            <w:tcW w:w="2886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5DF3A9D9" w14:textId="1795A5DA" w:rsidR="00C82D04" w:rsidRPr="007F6EF3" w:rsidRDefault="00C82D04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Znenie pripomienky</w:t>
            </w:r>
          </w:p>
        </w:tc>
        <w:tc>
          <w:tcPr>
            <w:tcW w:w="2974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67C7C83D" w14:textId="080B889A" w:rsidR="00C82D04" w:rsidRPr="007F6EF3" w:rsidRDefault="00C82D04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Odôvodnenie pripomienky</w:t>
            </w:r>
          </w:p>
        </w:tc>
        <w:tc>
          <w:tcPr>
            <w:tcW w:w="4825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7659C744" w14:textId="3A151CF8" w:rsidR="00C82D04" w:rsidRPr="007F6EF3" w:rsidRDefault="00C82D04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Odpoveď SEPS</w:t>
            </w:r>
          </w:p>
        </w:tc>
        <w:tc>
          <w:tcPr>
            <w:tcW w:w="2088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6D3E6640" w14:textId="2DD573EE" w:rsidR="00C82D04" w:rsidRPr="007F6EF3" w:rsidRDefault="00C82D04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Zapracovanie do návrhu podmienok</w:t>
            </w:r>
          </w:p>
        </w:tc>
      </w:tr>
      <w:tr w:rsidR="00192F9A" w:rsidRPr="007F6EF3" w14:paraId="4E8AFC7B" w14:textId="77777777" w:rsidTr="00C75826">
        <w:tc>
          <w:tcPr>
            <w:tcW w:w="938" w:type="dxa"/>
          </w:tcPr>
          <w:p w14:paraId="6BC94951" w14:textId="6EEC84A5" w:rsidR="00192F9A" w:rsidRPr="007F6EF3" w:rsidRDefault="009945A0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hi-IN"/>
              </w:rPr>
            </w:pPr>
            <w:bookmarkStart w:id="0" w:name="_Hlk131594366"/>
            <w:r w:rsidRPr="007F6EF3">
              <w:rPr>
                <w:rFonts w:ascii="Arial" w:hAnsi="Arial" w:cs="Arial"/>
                <w:b/>
                <w:bCs/>
                <w:sz w:val="20"/>
              </w:rPr>
              <w:t xml:space="preserve">Kap. 4, </w:t>
            </w:r>
            <w:proofErr w:type="spellStart"/>
            <w:r w:rsidRPr="007F6EF3">
              <w:rPr>
                <w:rFonts w:ascii="Arial" w:hAnsi="Arial" w:cs="Arial"/>
                <w:b/>
                <w:bCs/>
                <w:sz w:val="20"/>
              </w:rPr>
              <w:t>ods</w:t>
            </w:r>
            <w:proofErr w:type="spellEnd"/>
            <w:r w:rsidRPr="007F6EF3">
              <w:rPr>
                <w:rFonts w:ascii="Arial" w:hAnsi="Arial" w:cs="Arial"/>
                <w:b/>
                <w:bCs/>
                <w:sz w:val="20"/>
              </w:rPr>
              <w:t xml:space="preserve"> 4.1.2.</w:t>
            </w:r>
            <w:bookmarkEnd w:id="0"/>
          </w:p>
        </w:tc>
        <w:tc>
          <w:tcPr>
            <w:tcW w:w="2886" w:type="dxa"/>
          </w:tcPr>
          <w:p w14:paraId="6E662C98" w14:textId="77777777" w:rsidR="009945A0" w:rsidRPr="007F6EF3" w:rsidRDefault="009945A0" w:rsidP="00265BDF">
            <w:pPr>
              <w:pStyle w:val="normal1"/>
              <w:spacing w:before="0" w:after="0"/>
              <w:ind w:firstLine="0"/>
              <w:rPr>
                <w:rFonts w:cs="Arial"/>
                <w:szCs w:val="20"/>
              </w:rPr>
            </w:pPr>
            <w:r w:rsidRPr="007F6EF3">
              <w:rPr>
                <w:rFonts w:cs="Arial"/>
                <w:iCs/>
                <w:szCs w:val="20"/>
              </w:rPr>
              <w:t>Návrh plánu nezohľadňuje aktuálne dáta pre u</w:t>
            </w:r>
            <w:r w:rsidRPr="007F6EF3">
              <w:rPr>
                <w:rFonts w:cs="Arial"/>
                <w:szCs w:val="20"/>
              </w:rPr>
              <w:t>rýchlenie rozvoja využívania OZE. Návrh plánu nepočíta s aktualizáciou INECP, ktorá má prebehnúť do 30. júna 2023.</w:t>
            </w:r>
          </w:p>
          <w:p w14:paraId="60C9AB11" w14:textId="77777777" w:rsidR="009945A0" w:rsidRPr="007F6EF3" w:rsidRDefault="009945A0" w:rsidP="00265BDF">
            <w:pPr>
              <w:pStyle w:val="normal1"/>
              <w:spacing w:before="0" w:after="0"/>
              <w:ind w:firstLine="0"/>
              <w:rPr>
                <w:rFonts w:cs="Arial"/>
                <w:szCs w:val="20"/>
              </w:rPr>
            </w:pPr>
          </w:p>
          <w:p w14:paraId="240E89D6" w14:textId="33B4A217" w:rsidR="00192F9A" w:rsidRPr="007F6EF3" w:rsidRDefault="009945A0" w:rsidP="00265B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 w:rsidRPr="007F6EF3">
              <w:rPr>
                <w:rFonts w:ascii="Arial" w:hAnsi="Arial" w:cs="Arial"/>
                <w:sz w:val="20"/>
              </w:rPr>
              <w:t>Navrhujeme preto v pláne zohľadniť fakt, že v blízkej dobe dôjde k aktualizácii INECP buď automatickým prebratím záverov aktualizovaného INECP do plánu alebo určením postupu doplnenia a úpravy plánu v prípade nového znenia INECP.</w:t>
            </w:r>
          </w:p>
        </w:tc>
        <w:tc>
          <w:tcPr>
            <w:tcW w:w="2974" w:type="dxa"/>
          </w:tcPr>
          <w:p w14:paraId="5A5239CA" w14:textId="77777777" w:rsidR="009945A0" w:rsidRPr="007F6EF3" w:rsidRDefault="009945A0" w:rsidP="00265BDF">
            <w:pPr>
              <w:pStyle w:val="normal1"/>
              <w:spacing w:before="0" w:after="0"/>
              <w:ind w:firstLine="0"/>
              <w:rPr>
                <w:rFonts w:cs="Arial"/>
                <w:szCs w:val="20"/>
              </w:rPr>
            </w:pPr>
            <w:r w:rsidRPr="007F6EF3">
              <w:rPr>
                <w:rFonts w:cs="Arial"/>
                <w:szCs w:val="20"/>
              </w:rPr>
              <w:t xml:space="preserve">Máme za to, že návrh plánu nereflektuje realitu potreby a záujmu inštalácie nových zdrojov a vo všeobecnosti podceňuje objem OZE, ktoré by sa v rámci SR mali inštalovať (aj s ohľadom na energetickú bezpečnosť a sebestačnosť SR). </w:t>
            </w:r>
          </w:p>
          <w:p w14:paraId="1F7FE575" w14:textId="77777777" w:rsidR="009945A0" w:rsidRPr="007F6EF3" w:rsidRDefault="009945A0" w:rsidP="00265BDF">
            <w:pPr>
              <w:pStyle w:val="normal1"/>
              <w:spacing w:before="0" w:after="0"/>
              <w:ind w:firstLine="0"/>
              <w:rPr>
                <w:rFonts w:cs="Arial"/>
                <w:szCs w:val="20"/>
              </w:rPr>
            </w:pPr>
          </w:p>
          <w:p w14:paraId="089282A3" w14:textId="77777777" w:rsidR="009945A0" w:rsidRPr="007F6EF3" w:rsidRDefault="009945A0" w:rsidP="00265BD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F6EF3">
              <w:rPr>
                <w:rFonts w:ascii="Arial" w:hAnsi="Arial" w:cs="Arial"/>
                <w:iCs/>
                <w:sz w:val="20"/>
              </w:rPr>
              <w:t xml:space="preserve">Predpokladaný vývoj zdrojového mixu ES SR v pláne vychádza z aktuálneho INECP SR, avšak Nariadením „zimného balíčka“ č. 2018/1999 o riadení energetickej únie a opatrení v oblasti klímy, stanovila EÚ v čl. 14 členským štátom </w:t>
            </w:r>
            <w:r w:rsidRPr="007F6EF3">
              <w:rPr>
                <w:rFonts w:ascii="Arial" w:hAnsi="Arial" w:cs="Arial"/>
                <w:b/>
                <w:bCs/>
                <w:iCs/>
                <w:sz w:val="20"/>
              </w:rPr>
              <w:t xml:space="preserve">povinnosť </w:t>
            </w:r>
            <w:r w:rsidRPr="007F6EF3">
              <w:rPr>
                <w:rFonts w:ascii="Arial" w:hAnsi="Arial" w:cs="Arial"/>
                <w:b/>
                <w:bCs/>
                <w:sz w:val="20"/>
              </w:rPr>
              <w:t>do 30. júna 2023</w:t>
            </w:r>
            <w:r w:rsidRPr="007F6EF3">
              <w:rPr>
                <w:rFonts w:ascii="Arial" w:hAnsi="Arial" w:cs="Arial"/>
                <w:sz w:val="20"/>
              </w:rPr>
              <w:t xml:space="preserve"> a následne do 1. januára 2033 a potom každých 10 rokov </w:t>
            </w:r>
            <w:r w:rsidRPr="007F6EF3">
              <w:rPr>
                <w:rFonts w:ascii="Arial" w:hAnsi="Arial" w:cs="Arial"/>
                <w:b/>
                <w:bCs/>
                <w:sz w:val="20"/>
              </w:rPr>
              <w:t xml:space="preserve">predložiť Komisii návrh </w:t>
            </w:r>
            <w:r w:rsidRPr="007F6EF3">
              <w:rPr>
                <w:rFonts w:ascii="Arial" w:hAnsi="Arial" w:cs="Arial"/>
                <w:b/>
                <w:bCs/>
                <w:sz w:val="20"/>
              </w:rPr>
              <w:lastRenderedPageBreak/>
              <w:t>aktualizácie posledného oznámeného integrovaného národného energetického a klimatického plánu</w:t>
            </w:r>
            <w:r w:rsidRPr="007F6EF3">
              <w:rPr>
                <w:rFonts w:ascii="Arial" w:hAnsi="Arial" w:cs="Arial"/>
                <w:sz w:val="20"/>
              </w:rPr>
              <w:t>. Odborná diskusia a pripomienkovanie tejto aktualizácie už prebieha.</w:t>
            </w:r>
          </w:p>
          <w:p w14:paraId="77AA657A" w14:textId="77777777" w:rsidR="009945A0" w:rsidRPr="007F6EF3" w:rsidRDefault="009945A0" w:rsidP="00265BDF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F03F759" w14:textId="77777777" w:rsidR="009945A0" w:rsidRPr="007F6EF3" w:rsidRDefault="009945A0" w:rsidP="00265BDF">
            <w:pPr>
              <w:pStyle w:val="normal1"/>
              <w:spacing w:before="0" w:after="0"/>
              <w:ind w:firstLine="0"/>
              <w:rPr>
                <w:rFonts w:cs="Arial"/>
                <w:iCs/>
                <w:szCs w:val="20"/>
              </w:rPr>
            </w:pPr>
            <w:r w:rsidRPr="007F6EF3">
              <w:rPr>
                <w:rFonts w:cs="Arial"/>
                <w:szCs w:val="20"/>
              </w:rPr>
              <w:t xml:space="preserve">Záujmom v súlade s európskou legislatívou je najmä vytváranie dostatočnej kapacity, aby sa umožnilo pripojenie ďalších OZE do elektrizačnej sústavy, a to aj s ohľadom na cieľ </w:t>
            </w:r>
            <w:r w:rsidRPr="007F6EF3">
              <w:rPr>
                <w:rFonts w:cs="Arial"/>
                <w:iCs/>
                <w:szCs w:val="20"/>
              </w:rPr>
              <w:t>dosiahnuť do roku 2050 uhlíkovú neutralitu.</w:t>
            </w:r>
          </w:p>
          <w:p w14:paraId="3634FF41" w14:textId="77777777" w:rsidR="009945A0" w:rsidRPr="007F6EF3" w:rsidRDefault="009945A0" w:rsidP="00265BDF">
            <w:pPr>
              <w:pStyle w:val="normal1"/>
              <w:spacing w:before="0" w:after="0"/>
              <w:ind w:firstLine="0"/>
              <w:rPr>
                <w:rFonts w:cs="Arial"/>
                <w:szCs w:val="20"/>
              </w:rPr>
            </w:pPr>
          </w:p>
          <w:p w14:paraId="2A312600" w14:textId="77777777" w:rsidR="009945A0" w:rsidRPr="007F6EF3" w:rsidRDefault="009945A0" w:rsidP="00265BDF">
            <w:pPr>
              <w:pStyle w:val="Odsektextu"/>
              <w:spacing w:before="0" w:after="0"/>
              <w:rPr>
                <w:iCs/>
                <w:szCs w:val="20"/>
              </w:rPr>
            </w:pPr>
            <w:r w:rsidRPr="007F6EF3">
              <w:rPr>
                <w:szCs w:val="20"/>
              </w:rPr>
              <w:t xml:space="preserve">Desaťročný plán rozvoja sústavy musí podľa §29 zákona 251/2012 Z. z. obsahovať účinné opatrenia na zaručenie primeranosti sústavy a bezpečnosti dodávok elektriny. Aby bol naplnený obsah a účel uvedeného ustanovenia, mal by plán obsahovať aj úpravu pre prípad aktualizácie podkladov, z ktorých vychádza, pričom INECP je jedným z najzásadnejších dokumentov, vzhľadom na to, že by mal vždy aktuálne </w:t>
            </w:r>
            <w:r w:rsidRPr="007F6EF3">
              <w:rPr>
                <w:iCs/>
                <w:szCs w:val="20"/>
              </w:rPr>
              <w:t xml:space="preserve">reflektovať na dekarbonizačné ciele EÚ. </w:t>
            </w:r>
          </w:p>
          <w:p w14:paraId="3A8B891E" w14:textId="77777777" w:rsidR="009945A0" w:rsidRPr="007F6EF3" w:rsidRDefault="009945A0" w:rsidP="00265BDF">
            <w:pPr>
              <w:pStyle w:val="Odsektextu"/>
              <w:spacing w:before="0" w:after="0"/>
              <w:rPr>
                <w:iCs/>
                <w:szCs w:val="20"/>
              </w:rPr>
            </w:pPr>
          </w:p>
          <w:p w14:paraId="5CCA8F50" w14:textId="161829CE" w:rsidR="00C82D04" w:rsidRPr="007F6EF3" w:rsidRDefault="009945A0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 w:rsidRPr="007F6EF3">
              <w:rPr>
                <w:rFonts w:ascii="Arial" w:hAnsi="Arial" w:cs="Arial"/>
                <w:iCs/>
                <w:szCs w:val="20"/>
              </w:rPr>
              <w:t xml:space="preserve">Z uvedených dôvodov navrhujeme </w:t>
            </w:r>
            <w:r w:rsidRPr="007F6EF3">
              <w:rPr>
                <w:rFonts w:ascii="Arial" w:hAnsi="Arial" w:cs="Arial"/>
                <w:szCs w:val="20"/>
              </w:rPr>
              <w:t>v pláne zohľadniť fakt, že v blízkej dobe dôjde k aktualizácii INECP buď automatickým prebratím záverov aktualizovaného INECP do plánu alebo určením postupu doplnenia a úpravy plánu v prípade nového znenia INECP.</w:t>
            </w:r>
          </w:p>
        </w:tc>
        <w:tc>
          <w:tcPr>
            <w:tcW w:w="4825" w:type="dxa"/>
          </w:tcPr>
          <w:p w14:paraId="37BD30BD" w14:textId="24B72320" w:rsidR="00192F9A" w:rsidRDefault="00C97B7B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Návrh plánu nemôže počítať s aktualizáciou NECP, nakoľko táto ešte neprebehla.</w:t>
            </w:r>
          </w:p>
          <w:p w14:paraId="20CB56B2" w14:textId="77777777" w:rsidR="00797395" w:rsidRDefault="00797395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14:paraId="61E8CF38" w14:textId="25996F5E" w:rsidR="00C97B7B" w:rsidRPr="007F6EF3" w:rsidRDefault="00C97B7B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Výstupy z aktualizovaného NECP budú zohľadnené pri tvorbe nasledujúceho DPRPS.</w:t>
            </w:r>
          </w:p>
        </w:tc>
        <w:tc>
          <w:tcPr>
            <w:tcW w:w="2088" w:type="dxa"/>
          </w:tcPr>
          <w:p w14:paraId="3B628B69" w14:textId="53FEE33C" w:rsidR="00192F9A" w:rsidRPr="007F6EF3" w:rsidRDefault="00C75826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7F6EF3">
              <w:rPr>
                <w:rFonts w:ascii="Arial" w:hAnsi="Arial" w:cs="Arial"/>
                <w:szCs w:val="20"/>
              </w:rPr>
              <w:t>NIE</w:t>
            </w:r>
          </w:p>
        </w:tc>
      </w:tr>
    </w:tbl>
    <w:p w14:paraId="45D57D0B" w14:textId="77777777" w:rsidR="00C75826" w:rsidRPr="007F6EF3" w:rsidRDefault="00C75826" w:rsidP="00265BDF">
      <w:pPr>
        <w:spacing w:after="0" w:line="240" w:lineRule="auto"/>
        <w:rPr>
          <w:rFonts w:ascii="Arial" w:hAnsi="Arial" w:cs="Arial"/>
        </w:rPr>
      </w:pPr>
    </w:p>
    <w:tbl>
      <w:tblPr>
        <w:tblStyle w:val="Mriekatabuky"/>
        <w:tblW w:w="13711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886"/>
        <w:gridCol w:w="2974"/>
        <w:gridCol w:w="4825"/>
        <w:gridCol w:w="2088"/>
      </w:tblGrid>
      <w:tr w:rsidR="00C75826" w:rsidRPr="007F6EF3" w14:paraId="7340B306" w14:textId="77777777" w:rsidTr="00C75826">
        <w:trPr>
          <w:trHeight w:val="402"/>
        </w:trPr>
        <w:tc>
          <w:tcPr>
            <w:tcW w:w="3824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D5DCE4" w:themeFill="text2" w:themeFillTint="33"/>
            <w:vAlign w:val="center"/>
          </w:tcPr>
          <w:p w14:paraId="29EC7C5F" w14:textId="77777777" w:rsidR="00C75826" w:rsidRPr="007F6EF3" w:rsidRDefault="00C75826" w:rsidP="00265BDF">
            <w:pPr>
              <w:spacing w:after="0" w:line="240" w:lineRule="auto"/>
              <w:rPr>
                <w:rFonts w:ascii="Arial" w:hAnsi="Arial" w:cs="Arial"/>
                <w:b/>
                <w:lang w:bidi="hi-IN"/>
              </w:rPr>
            </w:pPr>
            <w:r w:rsidRPr="007F6EF3">
              <w:rPr>
                <w:rFonts w:ascii="Arial" w:hAnsi="Arial" w:cs="Arial"/>
                <w:b/>
                <w:lang w:bidi="hi-IN"/>
              </w:rPr>
              <w:t>Informácie o pripomienkujúcom:</w:t>
            </w:r>
          </w:p>
        </w:tc>
        <w:tc>
          <w:tcPr>
            <w:tcW w:w="2974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D5DCE4" w:themeFill="text2" w:themeFillTint="33"/>
            <w:vAlign w:val="center"/>
          </w:tcPr>
          <w:p w14:paraId="706C0E31" w14:textId="77777777" w:rsidR="00C75826" w:rsidRPr="007F6EF3" w:rsidRDefault="00C75826" w:rsidP="00265BDF">
            <w:pPr>
              <w:spacing w:after="0" w:line="240" w:lineRule="auto"/>
              <w:rPr>
                <w:rFonts w:ascii="Arial" w:hAnsi="Arial" w:cs="Arial"/>
                <w:b/>
                <w:lang w:bidi="hi-IN"/>
              </w:rPr>
            </w:pPr>
            <w:r w:rsidRPr="007F6EF3">
              <w:rPr>
                <w:rFonts w:ascii="Arial" w:hAnsi="Arial" w:cs="Arial"/>
                <w:b/>
                <w:lang w:bidi="hi-IN"/>
              </w:rPr>
              <w:t>Názov a adresa subjektu:</w:t>
            </w:r>
          </w:p>
        </w:tc>
        <w:tc>
          <w:tcPr>
            <w:tcW w:w="6913" w:type="dxa"/>
            <w:gridSpan w:val="2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FFFF" w:themeFill="background1"/>
            <w:vAlign w:val="center"/>
          </w:tcPr>
          <w:p w14:paraId="7C696B27" w14:textId="166C55DD" w:rsidR="00C75826" w:rsidRPr="007F6EF3" w:rsidRDefault="00C75826" w:rsidP="00265BDF">
            <w:pPr>
              <w:spacing w:after="0" w:line="240" w:lineRule="auto"/>
              <w:rPr>
                <w:rFonts w:ascii="Arial" w:hAnsi="Arial" w:cs="Arial"/>
                <w:highlight w:val="yellow"/>
                <w:lang w:bidi="hi-IN"/>
              </w:rPr>
            </w:pPr>
            <w:r w:rsidRPr="007F6EF3">
              <w:rPr>
                <w:rFonts w:ascii="Arial" w:hAnsi="Arial" w:cs="Arial"/>
                <w:b/>
                <w:bCs/>
                <w:sz w:val="20"/>
              </w:rPr>
              <w:t>Anonymná pripomienka</w:t>
            </w:r>
          </w:p>
        </w:tc>
      </w:tr>
      <w:tr w:rsidR="00C75826" w:rsidRPr="007F6EF3" w14:paraId="66D391B5" w14:textId="77777777" w:rsidTr="00C75826">
        <w:trPr>
          <w:trHeight w:val="1146"/>
        </w:trPr>
        <w:tc>
          <w:tcPr>
            <w:tcW w:w="938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1420D0C3" w14:textId="77777777" w:rsidR="00C75826" w:rsidRPr="007F6EF3" w:rsidRDefault="00C75826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Čl. Ods. (písm.)</w:t>
            </w:r>
          </w:p>
        </w:tc>
        <w:tc>
          <w:tcPr>
            <w:tcW w:w="2886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49F58BC0" w14:textId="77777777" w:rsidR="00C75826" w:rsidRPr="007F6EF3" w:rsidRDefault="00C75826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Znenie pripomienky</w:t>
            </w:r>
          </w:p>
        </w:tc>
        <w:tc>
          <w:tcPr>
            <w:tcW w:w="2974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6BFF2674" w14:textId="77777777" w:rsidR="00C75826" w:rsidRPr="007F6EF3" w:rsidRDefault="00C75826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Odôvodnenie pripomienky</w:t>
            </w:r>
          </w:p>
        </w:tc>
        <w:tc>
          <w:tcPr>
            <w:tcW w:w="4825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36732AF3" w14:textId="77777777" w:rsidR="00C75826" w:rsidRPr="007F6EF3" w:rsidRDefault="00C75826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Odpoveď SEPS</w:t>
            </w:r>
          </w:p>
        </w:tc>
        <w:tc>
          <w:tcPr>
            <w:tcW w:w="2088" w:type="dxa"/>
            <w:tcBorders>
              <w:top w:val="single" w:sz="4" w:space="0" w:color="806000" w:themeColor="accent4" w:themeShade="80"/>
            </w:tcBorders>
            <w:shd w:val="clear" w:color="auto" w:fill="44546A" w:themeFill="text2"/>
            <w:vAlign w:val="center"/>
          </w:tcPr>
          <w:p w14:paraId="7B437B06" w14:textId="77777777" w:rsidR="00C75826" w:rsidRPr="007F6EF3" w:rsidRDefault="00C75826" w:rsidP="00265BD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lang w:bidi="hi-IN"/>
              </w:rPr>
            </w:pPr>
            <w:r w:rsidRPr="007F6EF3">
              <w:rPr>
                <w:rFonts w:ascii="Arial" w:hAnsi="Arial" w:cs="Arial"/>
                <w:b/>
                <w:color w:val="FFFFFF" w:themeColor="background1"/>
                <w:lang w:bidi="hi-IN"/>
              </w:rPr>
              <w:t>Zapracovanie do návrhu podmienok</w:t>
            </w:r>
          </w:p>
        </w:tc>
      </w:tr>
      <w:tr w:rsidR="00A1535B" w:rsidRPr="007F6EF3" w14:paraId="23722074" w14:textId="77777777" w:rsidTr="00C75826">
        <w:tc>
          <w:tcPr>
            <w:tcW w:w="938" w:type="dxa"/>
          </w:tcPr>
          <w:p w14:paraId="47D4BF4A" w14:textId="149ECD39" w:rsidR="00A1535B" w:rsidRPr="007F6EF3" w:rsidRDefault="00E20756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  <w:lang w:bidi="hi-IN"/>
              </w:rPr>
              <w:t>Kap. 6.5.2</w:t>
            </w:r>
          </w:p>
        </w:tc>
        <w:tc>
          <w:tcPr>
            <w:tcW w:w="2886" w:type="dxa"/>
          </w:tcPr>
          <w:p w14:paraId="62F0F269" w14:textId="77777777" w:rsidR="00E20756" w:rsidRPr="007F6EF3" w:rsidRDefault="00E20756" w:rsidP="00265B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bidi="hi-IN"/>
              </w:rPr>
            </w:pPr>
            <w:r w:rsidRPr="007F6EF3">
              <w:rPr>
                <w:rFonts w:ascii="Arial" w:hAnsi="Arial" w:cs="Arial"/>
                <w:i/>
                <w:sz w:val="20"/>
                <w:szCs w:val="20"/>
                <w:lang w:bidi="hi-IN"/>
              </w:rPr>
              <w:t xml:space="preserve">Doplniť odsek nasledovne: </w:t>
            </w:r>
          </w:p>
          <w:p w14:paraId="47BB5F09" w14:textId="7D683BE7" w:rsidR="00A1535B" w:rsidRPr="007F6EF3" w:rsidDel="00C82D04" w:rsidRDefault="00E20756" w:rsidP="00265BDF">
            <w:pPr>
              <w:pStyle w:val="Default"/>
              <w:rPr>
                <w:i/>
                <w:sz w:val="20"/>
                <w:szCs w:val="20"/>
                <w:lang w:bidi="hi-IN"/>
              </w:rPr>
            </w:pPr>
            <w:r w:rsidRPr="007F6EF3">
              <w:rPr>
                <w:i/>
                <w:sz w:val="20"/>
                <w:szCs w:val="20"/>
              </w:rPr>
              <w:t>„Výbor pre rozvoj sústavy (</w:t>
            </w:r>
            <w:proofErr w:type="spellStart"/>
            <w:r w:rsidRPr="007F6EF3">
              <w:rPr>
                <w:i/>
                <w:sz w:val="20"/>
                <w:szCs w:val="20"/>
              </w:rPr>
              <w:t>System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sz w:val="20"/>
                <w:szCs w:val="20"/>
              </w:rPr>
              <w:t>Development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sz w:val="20"/>
                <w:szCs w:val="20"/>
              </w:rPr>
              <w:t>Committee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) v rámci ENTSO-E každé dva roky vypracováva desaťročný plán rozvoja sústavy, ktorý popisuje a </w:t>
            </w:r>
            <w:proofErr w:type="spellStart"/>
            <w:r w:rsidRPr="007F6EF3">
              <w:rPr>
                <w:i/>
                <w:sz w:val="20"/>
                <w:szCs w:val="20"/>
              </w:rPr>
              <w:t>kVantifikuje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 hlavné potreby rozvoja prenosových sústav v Európe v </w:t>
            </w:r>
            <w:proofErr w:type="spellStart"/>
            <w:r w:rsidRPr="007F6EF3">
              <w:rPr>
                <w:i/>
                <w:sz w:val="20"/>
                <w:szCs w:val="20"/>
              </w:rPr>
              <w:t>stredno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 a dlhodobých časových horizontoch a obsahuje výsledky hodnotenia projektov </w:t>
            </w:r>
            <w:proofErr w:type="spellStart"/>
            <w:r w:rsidRPr="007F6EF3">
              <w:rPr>
                <w:i/>
                <w:sz w:val="20"/>
                <w:szCs w:val="20"/>
              </w:rPr>
              <w:t>Pan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-Európskeho významu </w:t>
            </w:r>
            <w:proofErr w:type="spellStart"/>
            <w:r w:rsidRPr="007F6EF3">
              <w:rPr>
                <w:i/>
                <w:sz w:val="20"/>
                <w:szCs w:val="20"/>
              </w:rPr>
              <w:t>multi-kriteriálnou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sz w:val="20"/>
                <w:szCs w:val="20"/>
              </w:rPr>
              <w:lastRenderedPageBreak/>
              <w:t>cost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-benefit analýzou (CBA). TYNDP 2022 bol zverejnený na verejnú konzultáciu v júli 2022, ukončená bola v septembri 2022. Koncom roka 2022 bol balík TYNDP 2022 zaslaný na ACER na vyjadrenie. Jeho publikovanie sa očakáva v 1Q/2023. Medzi investičné projekty TYNDP 2022 s </w:t>
            </w:r>
            <w:proofErr w:type="spellStart"/>
            <w:r w:rsidRPr="007F6EF3">
              <w:rPr>
                <w:i/>
                <w:sz w:val="20"/>
                <w:szCs w:val="20"/>
              </w:rPr>
              <w:t>pan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-európskym významom bol zahrnutý aj projekt č. 330 „Štvrté 400 kV cezhraničné prepojenie SK a CZ “, ktorého </w:t>
            </w:r>
            <w:proofErr w:type="spellStart"/>
            <w:r w:rsidRPr="007F6EF3">
              <w:rPr>
                <w:i/>
                <w:sz w:val="20"/>
                <w:szCs w:val="20"/>
              </w:rPr>
              <w:t>spolurealizátorom</w:t>
            </w:r>
            <w:proofErr w:type="spellEnd"/>
            <w:r w:rsidRPr="007F6EF3">
              <w:rPr>
                <w:i/>
                <w:sz w:val="20"/>
                <w:szCs w:val="20"/>
              </w:rPr>
              <w:t xml:space="preserve"> je SEPS. </w:t>
            </w:r>
            <w:bookmarkStart w:id="1" w:name="_Hlk132293351"/>
            <w:r w:rsidRPr="007F6EF3">
              <w:rPr>
                <w:i/>
                <w:color w:val="FF0000"/>
                <w:sz w:val="20"/>
                <w:szCs w:val="20"/>
              </w:rPr>
              <w:t xml:space="preserve">Súčasťou TYNDP 2022 je aj projekt </w:t>
            </w:r>
            <w:proofErr w:type="spellStart"/>
            <w:r w:rsidRPr="007F6EF3">
              <w:rPr>
                <w:i/>
                <w:color w:val="FF0000"/>
                <w:sz w:val="20"/>
                <w:szCs w:val="20"/>
              </w:rPr>
              <w:t>projekt</w:t>
            </w:r>
            <w:proofErr w:type="spellEnd"/>
            <w:r w:rsidRPr="007F6EF3">
              <w:rPr>
                <w:i/>
                <w:color w:val="FF0000"/>
                <w:sz w:val="20"/>
                <w:szCs w:val="20"/>
              </w:rPr>
              <w:t xml:space="preserve"> č. 1050 Integrátor SE ktorý spočíva v modernizácii PVE Čierny Váh a </w:t>
            </w:r>
            <w:proofErr w:type="spellStart"/>
            <w:r w:rsidRPr="007F6EF3">
              <w:rPr>
                <w:i/>
                <w:color w:val="FF0000"/>
                <w:sz w:val="20"/>
                <w:szCs w:val="20"/>
              </w:rPr>
              <w:t>hybridizáciie</w:t>
            </w:r>
            <w:proofErr w:type="spellEnd"/>
            <w:r w:rsidRPr="007F6EF3">
              <w:rPr>
                <w:i/>
                <w:color w:val="FF0000"/>
                <w:sz w:val="20"/>
                <w:szCs w:val="20"/>
              </w:rPr>
              <w:t xml:space="preserve"> tejto PVE pomocou batériového úložiska. Realizátorom toho projektu sú Slovenské elektrárne“</w:t>
            </w:r>
            <w:bookmarkEnd w:id="1"/>
            <w:r w:rsidRPr="007F6EF3">
              <w:rPr>
                <w:i/>
                <w:color w:val="FF0000"/>
                <w:sz w:val="20"/>
                <w:szCs w:val="20"/>
              </w:rPr>
              <w:t>.</w:t>
            </w:r>
            <w:r w:rsidRPr="007F6EF3">
              <w:rPr>
                <w:i/>
                <w:sz w:val="20"/>
                <w:szCs w:val="20"/>
                <w:lang w:bidi="hi-IN"/>
              </w:rPr>
              <w:t>“</w:t>
            </w:r>
          </w:p>
        </w:tc>
        <w:tc>
          <w:tcPr>
            <w:tcW w:w="2974" w:type="dxa"/>
          </w:tcPr>
          <w:p w14:paraId="15F22821" w14:textId="77777777" w:rsidR="00A1535B" w:rsidRDefault="00E20756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lastRenderedPageBreak/>
              <w:t xml:space="preserve">Neexistuje žiaden dôvod aby sa v rámci DPRPS 2033 v sekcii „6.5.2. Desaťročný plán rozvoja ENTSO-E (TYNDP)“ spomínal projekt č. 330 „Štvrté 400 kV cezhraničné prepojenie SK a CZ“ a naopak bol vynechaný projekt Integrátor SE. Jeden aj druhý projekt je súčasťou balíka TYNDP 2022 zaslaného na ACER na vyjadrenie a preto neexistuje dôvod na rozdielne zaobchádzanie s týmito dvoma projektami. Navyše informácie </w:t>
            </w:r>
            <w:r w:rsidRPr="007F6EF3">
              <w:rPr>
                <w:sz w:val="20"/>
                <w:szCs w:val="20"/>
              </w:rPr>
              <w:lastRenderedPageBreak/>
              <w:t xml:space="preserve">vo zvyšku dokumentu, ako napríklad „častejšie využívanie PVE“ (sekcia 5.1), </w:t>
            </w:r>
            <w:r w:rsidRPr="007F6EF3">
              <w:rPr>
                <w:sz w:val="23"/>
                <w:szCs w:val="23"/>
              </w:rPr>
              <w:t>„</w:t>
            </w:r>
            <w:r w:rsidRPr="007F6EF3">
              <w:rPr>
                <w:sz w:val="20"/>
                <w:szCs w:val="20"/>
              </w:rPr>
              <w:t xml:space="preserve">potreba mať k dispozícii dostatok flexibilných zdrojov elektriny“ (sekcia 5.4) </w:t>
            </w:r>
            <w:r w:rsidRPr="007F6EF3">
              <w:rPr>
                <w:sz w:val="23"/>
                <w:szCs w:val="23"/>
              </w:rPr>
              <w:t>a „</w:t>
            </w:r>
            <w:r w:rsidRPr="007F6EF3">
              <w:rPr>
                <w:sz w:val="20"/>
                <w:szCs w:val="20"/>
              </w:rPr>
              <w:t xml:space="preserve">pripojenie (batérii) do ES SR je žiaduce hlavne v kombinácii s ťažko </w:t>
            </w:r>
            <w:proofErr w:type="spellStart"/>
            <w:r w:rsidRPr="007F6EF3">
              <w:rPr>
                <w:sz w:val="20"/>
                <w:szCs w:val="20"/>
              </w:rPr>
              <w:t>predikovateľnými</w:t>
            </w:r>
            <w:proofErr w:type="spellEnd"/>
            <w:r w:rsidRPr="007F6EF3">
              <w:rPr>
                <w:sz w:val="20"/>
                <w:szCs w:val="20"/>
              </w:rPr>
              <w:t xml:space="preserve"> OZE, ako sú VTE a FVE“ (sekcia 5.1) ukazujú pridanú hodnotu tohto projektu a vytvárajú vynikajúce predpoklady pre realizáciu tohto projektu. Technická životnosť PVE Čierny Váh totiž končí do roku 2032 a ďalšia prevádzka tejto elektrárne sa nezaobíde bez rozsiahlejšej modernizácie turbogenerátorov. Keďže výpočty v DPRPS 2033 predpokladajú zvýšené využívanie PVE, DPRPS 2033 implicitne počíta s realizáciou projektu Integrátor SE minimálne v časti v rozsahu modernizácie PVE. Hybridizácia PVE Čierny Váh batériovým úložiskom navyše prispeje k dosiahnutiu celkovej inštalovanej kapacity 332-582 MW indikovanom na obrázku 4.2_2. Navyše v zahraničných DRPS je bežná prax, uvádzať </w:t>
            </w:r>
            <w:r w:rsidRPr="007F6EF3">
              <w:rPr>
                <w:sz w:val="20"/>
                <w:szCs w:val="20"/>
              </w:rPr>
              <w:lastRenderedPageBreak/>
              <w:t xml:space="preserve">aj plánované projekty v rámci dokumentu DRPS – ako príklad stačí uviesť projekty TYNDP 2022 č. 1001 - </w:t>
            </w:r>
            <w:proofErr w:type="spellStart"/>
            <w:r w:rsidRPr="007F6EF3">
              <w:rPr>
                <w:sz w:val="20"/>
                <w:szCs w:val="20"/>
              </w:rPr>
              <w:t>Kaunertal</w:t>
            </w:r>
            <w:proofErr w:type="spellEnd"/>
            <w:r w:rsidRPr="007F6EF3">
              <w:rPr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sz w:val="20"/>
                <w:szCs w:val="20"/>
              </w:rPr>
              <w:t>Extension</w:t>
            </w:r>
            <w:proofErr w:type="spellEnd"/>
            <w:r w:rsidRPr="007F6EF3">
              <w:rPr>
                <w:sz w:val="20"/>
                <w:szCs w:val="20"/>
              </w:rPr>
              <w:t xml:space="preserve"> Project</w:t>
            </w:r>
            <w:r w:rsidRPr="007F6EF3">
              <w:rPr>
                <w:sz w:val="13"/>
                <w:szCs w:val="13"/>
              </w:rPr>
              <w:t xml:space="preserve"> </w:t>
            </w:r>
            <w:r w:rsidRPr="007F6EF3">
              <w:rPr>
                <w:sz w:val="20"/>
                <w:szCs w:val="20"/>
              </w:rPr>
              <w:t xml:space="preserve">a č. </w:t>
            </w:r>
            <w:r w:rsidRPr="007F6EF3">
              <w:rPr>
                <w:sz w:val="23"/>
                <w:szCs w:val="23"/>
              </w:rPr>
              <w:t>1</w:t>
            </w:r>
            <w:r w:rsidRPr="007F6EF3">
              <w:rPr>
                <w:sz w:val="20"/>
                <w:szCs w:val="20"/>
              </w:rPr>
              <w:t xml:space="preserve">026 - </w:t>
            </w:r>
            <w:proofErr w:type="spellStart"/>
            <w:r w:rsidRPr="007F6EF3">
              <w:rPr>
                <w:sz w:val="20"/>
                <w:szCs w:val="20"/>
              </w:rPr>
              <w:t>Hydro</w:t>
            </w:r>
            <w:proofErr w:type="spellEnd"/>
            <w:r w:rsidRPr="007F6EF3">
              <w:rPr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sz w:val="20"/>
                <w:szCs w:val="20"/>
              </w:rPr>
              <w:t>pumped</w:t>
            </w:r>
            <w:proofErr w:type="spellEnd"/>
            <w:r w:rsidRPr="007F6EF3">
              <w:rPr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sz w:val="20"/>
                <w:szCs w:val="20"/>
              </w:rPr>
              <w:t>storage</w:t>
            </w:r>
            <w:proofErr w:type="spellEnd"/>
            <w:r w:rsidRPr="007F6EF3">
              <w:rPr>
                <w:sz w:val="20"/>
                <w:szCs w:val="20"/>
              </w:rPr>
              <w:t xml:space="preserve"> Riedl</w:t>
            </w:r>
            <w:r w:rsidRPr="007F6EF3">
              <w:rPr>
                <w:sz w:val="13"/>
                <w:szCs w:val="13"/>
              </w:rPr>
              <w:t xml:space="preserve"> </w:t>
            </w:r>
            <w:r w:rsidRPr="007F6EF3">
              <w:rPr>
                <w:sz w:val="20"/>
                <w:szCs w:val="20"/>
              </w:rPr>
              <w:t xml:space="preserve">ktoré sú uvedené v rakúskom a nemeckom DPRPS. </w:t>
            </w:r>
          </w:p>
          <w:p w14:paraId="7A39BE59" w14:textId="6666EF2B" w:rsidR="00F23524" w:rsidRPr="007F6EF3" w:rsidDel="00C82D04" w:rsidRDefault="00F23524" w:rsidP="00265B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19E62689" w14:textId="3E0F2AE9" w:rsidR="00954185" w:rsidRPr="00797395" w:rsidRDefault="00797395" w:rsidP="00265BDF">
            <w:pPr>
              <w:pStyle w:val="Zkladntext"/>
              <w:spacing w:after="0" w:line="240" w:lineRule="auto"/>
              <w:ind w:left="360"/>
              <w:rPr>
                <w:rFonts w:ascii="Arial" w:hAnsi="Arial" w:cs="Arial"/>
                <w:szCs w:val="20"/>
                <w:lang w:bidi="hi-IN"/>
              </w:rPr>
            </w:pPr>
            <w:r w:rsidRPr="00E878ED">
              <w:rPr>
                <w:rFonts w:ascii="Arial" w:hAnsi="Arial" w:cs="Arial"/>
                <w:szCs w:val="20"/>
                <w:lang w:bidi="hi-IN"/>
              </w:rPr>
              <w:lastRenderedPageBreak/>
              <w:t>SEPS v DPRPS nepopisuje projekty tretích strán. No h</w:t>
            </w:r>
            <w:r w:rsidR="0000732D" w:rsidRPr="00E878ED">
              <w:rPr>
                <w:rFonts w:ascii="Arial" w:hAnsi="Arial" w:cs="Arial"/>
                <w:szCs w:val="20"/>
                <w:lang w:bidi="hi-IN"/>
              </w:rPr>
              <w:t>oci nejde o projekt PPS do rozvoja PS, červený text bude doplnený do poznámky pod čiarou ako doplnková informácia o projekte tretej strany</w:t>
            </w:r>
            <w:r w:rsidRPr="00E878ED">
              <w:rPr>
                <w:rFonts w:ascii="Arial" w:hAnsi="Arial" w:cs="Arial"/>
                <w:szCs w:val="20"/>
                <w:lang w:bidi="hi-IN"/>
              </w:rPr>
              <w:t xml:space="preserve"> v dokumente TYNDP ENTSO-E 2022</w:t>
            </w:r>
            <w:r w:rsidR="0000732D" w:rsidRPr="00E878ED">
              <w:rPr>
                <w:rFonts w:ascii="Arial" w:hAnsi="Arial" w:cs="Arial"/>
                <w:szCs w:val="20"/>
                <w:lang w:bidi="hi-IN"/>
              </w:rPr>
              <w:t>.</w:t>
            </w:r>
            <w:r w:rsidR="0000732D" w:rsidRPr="00797395">
              <w:rPr>
                <w:rFonts w:ascii="Arial" w:hAnsi="Arial" w:cs="Arial"/>
                <w:szCs w:val="20"/>
                <w:lang w:bidi="hi-IN"/>
              </w:rPr>
              <w:t xml:space="preserve"> </w:t>
            </w:r>
          </w:p>
          <w:p w14:paraId="1448539F" w14:textId="170301C3" w:rsidR="0000732D" w:rsidRPr="00797395" w:rsidRDefault="0000732D" w:rsidP="00265BDF">
            <w:pPr>
              <w:pStyle w:val="Zkladntext"/>
              <w:spacing w:after="0" w:line="240" w:lineRule="auto"/>
              <w:ind w:left="360"/>
              <w:rPr>
                <w:rFonts w:ascii="Arial" w:hAnsi="Arial" w:cs="Arial"/>
                <w:szCs w:val="20"/>
                <w:lang w:bidi="hi-IN"/>
              </w:rPr>
            </w:pPr>
            <w:r w:rsidRPr="00797395">
              <w:rPr>
                <w:rFonts w:ascii="Arial" w:hAnsi="Arial" w:cs="Arial"/>
                <w:szCs w:val="20"/>
                <w:lang w:bidi="hi-IN"/>
              </w:rPr>
              <w:t xml:space="preserve"> </w:t>
            </w:r>
          </w:p>
        </w:tc>
        <w:tc>
          <w:tcPr>
            <w:tcW w:w="2088" w:type="dxa"/>
          </w:tcPr>
          <w:p w14:paraId="35BCB4D5" w14:textId="6260CFD7" w:rsidR="00A1535B" w:rsidRPr="00797395" w:rsidRDefault="00E878ED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ÁNO</w:t>
            </w:r>
          </w:p>
        </w:tc>
      </w:tr>
      <w:tr w:rsidR="00A1535B" w:rsidRPr="007F6EF3" w14:paraId="5DA44F32" w14:textId="77777777" w:rsidTr="00C75826">
        <w:tc>
          <w:tcPr>
            <w:tcW w:w="938" w:type="dxa"/>
          </w:tcPr>
          <w:p w14:paraId="68626BA0" w14:textId="767130F9" w:rsidR="00A1535B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  <w:lang w:bidi="hi-IN"/>
              </w:rPr>
              <w:lastRenderedPageBreak/>
              <w:t>Kap. 5.3</w:t>
            </w:r>
          </w:p>
        </w:tc>
        <w:tc>
          <w:tcPr>
            <w:tcW w:w="2886" w:type="dxa"/>
          </w:tcPr>
          <w:p w14:paraId="200A5423" w14:textId="77777777" w:rsidR="0049519E" w:rsidRPr="00D7073C" w:rsidRDefault="0049519E" w:rsidP="0049519E">
            <w:pPr>
              <w:pStyle w:val="Default"/>
              <w:rPr>
                <w:i/>
                <w:sz w:val="20"/>
                <w:szCs w:val="20"/>
              </w:rPr>
            </w:pPr>
            <w:r w:rsidRPr="00D7073C">
              <w:rPr>
                <w:i/>
                <w:sz w:val="20"/>
                <w:szCs w:val="20"/>
              </w:rPr>
              <w:t xml:space="preserve">Systémová dostatočnosť ES SR odsek 5.3.1. Dostatočnosť </w:t>
            </w:r>
            <w:proofErr w:type="spellStart"/>
            <w:r w:rsidRPr="00D7073C">
              <w:rPr>
                <w:i/>
                <w:sz w:val="20"/>
                <w:szCs w:val="20"/>
              </w:rPr>
              <w:t>PpS</w:t>
            </w:r>
            <w:proofErr w:type="spellEnd"/>
            <w:r w:rsidRPr="00D7073C">
              <w:rPr>
                <w:i/>
                <w:sz w:val="20"/>
                <w:szCs w:val="20"/>
              </w:rPr>
              <w:t xml:space="preserve">. </w:t>
            </w:r>
          </w:p>
          <w:p w14:paraId="29ABC6A6" w14:textId="77777777" w:rsidR="0049519E" w:rsidRPr="00D7073C" w:rsidRDefault="0049519E" w:rsidP="0049519E">
            <w:pPr>
              <w:pStyle w:val="Default"/>
              <w:rPr>
                <w:i/>
                <w:sz w:val="20"/>
                <w:szCs w:val="20"/>
              </w:rPr>
            </w:pPr>
            <w:r w:rsidRPr="00D7073C">
              <w:rPr>
                <w:i/>
                <w:sz w:val="20"/>
                <w:szCs w:val="20"/>
              </w:rPr>
              <w:t xml:space="preserve">V tomto odseku sa uvádza „ V reálnej prevádzke v roku 2021 sa však nevyskytol stav, kedy by indikovaný deficit v jednotlivých </w:t>
            </w:r>
            <w:proofErr w:type="spellStart"/>
            <w:r w:rsidRPr="00D7073C">
              <w:rPr>
                <w:i/>
                <w:sz w:val="20"/>
                <w:szCs w:val="20"/>
              </w:rPr>
              <w:t>PpS</w:t>
            </w:r>
            <w:proofErr w:type="spellEnd"/>
            <w:r w:rsidRPr="00D7073C">
              <w:rPr>
                <w:i/>
                <w:sz w:val="20"/>
                <w:szCs w:val="20"/>
              </w:rPr>
              <w:t xml:space="preserve"> ohrozil bezpečnosť a spoľahlivosť prevádzky a kvalitu regulácie ES SR“. </w:t>
            </w:r>
          </w:p>
          <w:p w14:paraId="33E7B9C0" w14:textId="17ED180D" w:rsidR="0049519E" w:rsidRDefault="00AE7452" w:rsidP="0049519E">
            <w:pPr>
              <w:pStyle w:val="Default"/>
              <w:rPr>
                <w:sz w:val="20"/>
                <w:szCs w:val="20"/>
              </w:rPr>
            </w:pPr>
            <w:r w:rsidRPr="00D7073C">
              <w:rPr>
                <w:i/>
                <w:sz w:val="20"/>
                <w:szCs w:val="20"/>
              </w:rPr>
              <w:t>Pre rok 2022 odsek neobsahuje žiadny komentár k bezpečnosti a spoľahlivosť prevádzky a kvalite regulácie ES SR. Takýto komentár je potrebné doplniť</w:t>
            </w:r>
            <w:r>
              <w:rPr>
                <w:sz w:val="20"/>
                <w:szCs w:val="20"/>
              </w:rPr>
              <w:t xml:space="preserve">. </w:t>
            </w:r>
          </w:p>
          <w:p w14:paraId="22C7D5A8" w14:textId="5EB955CA" w:rsidR="00A1535B" w:rsidRPr="0049519E" w:rsidRDefault="00A1535B" w:rsidP="00265B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</w:p>
        </w:tc>
        <w:tc>
          <w:tcPr>
            <w:tcW w:w="2974" w:type="dxa"/>
          </w:tcPr>
          <w:p w14:paraId="31994327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t xml:space="preserve">Prevádzkové dáta sú známe aj pre rok 2022, je teda žiaduce </w:t>
            </w:r>
            <w:proofErr w:type="spellStart"/>
            <w:r w:rsidRPr="007F6EF3">
              <w:rPr>
                <w:sz w:val="20"/>
                <w:szCs w:val="20"/>
              </w:rPr>
              <w:t>okomentavať</w:t>
            </w:r>
            <w:proofErr w:type="spellEnd"/>
            <w:r w:rsidRPr="007F6EF3">
              <w:rPr>
                <w:sz w:val="20"/>
                <w:szCs w:val="20"/>
              </w:rPr>
              <w:t xml:space="preserve"> bezpečnosť a spoľahlivosť prevádzky a </w:t>
            </w:r>
            <w:proofErr w:type="spellStart"/>
            <w:r w:rsidRPr="007F6EF3">
              <w:rPr>
                <w:sz w:val="20"/>
                <w:szCs w:val="20"/>
              </w:rPr>
              <w:t>kvalitú</w:t>
            </w:r>
            <w:proofErr w:type="spellEnd"/>
            <w:r w:rsidRPr="007F6EF3">
              <w:rPr>
                <w:sz w:val="20"/>
                <w:szCs w:val="20"/>
              </w:rPr>
              <w:t xml:space="preserve"> regulácie ES SR počas roka 2022. </w:t>
            </w:r>
          </w:p>
          <w:p w14:paraId="675C6386" w14:textId="1716BF65" w:rsidR="00A1535B" w:rsidRPr="007F6EF3" w:rsidRDefault="00A1535B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4825" w:type="dxa"/>
          </w:tcPr>
          <w:p w14:paraId="45159CAF" w14:textId="2A684006" w:rsidR="00C43CB2" w:rsidRDefault="0049519E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V čase spracovania </w:t>
            </w:r>
            <w:r w:rsidR="00DF3B79">
              <w:rPr>
                <w:rFonts w:ascii="Arial" w:hAnsi="Arial" w:cs="Arial"/>
                <w:szCs w:val="20"/>
                <w:lang w:bidi="hi-IN"/>
              </w:rPr>
              <w:t>analýz pre</w:t>
            </w:r>
            <w:r w:rsidR="001B6E3D">
              <w:rPr>
                <w:rFonts w:ascii="Arial" w:hAnsi="Arial" w:cs="Arial"/>
                <w:szCs w:val="20"/>
                <w:lang w:bidi="hi-IN"/>
              </w:rPr>
              <w:t xml:space="preserve"> 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DPRPS </w:t>
            </w:r>
            <w:r w:rsidR="00DF3B79">
              <w:rPr>
                <w:rFonts w:ascii="Arial" w:hAnsi="Arial" w:cs="Arial"/>
                <w:szCs w:val="20"/>
                <w:lang w:bidi="hi-IN"/>
              </w:rPr>
              <w:t xml:space="preserve">2033 </w:t>
            </w:r>
            <w:r>
              <w:rPr>
                <w:rFonts w:ascii="Arial" w:hAnsi="Arial" w:cs="Arial"/>
                <w:szCs w:val="20"/>
                <w:lang w:bidi="hi-IN"/>
              </w:rPr>
              <w:t>nebol rok 2022 ukončený</w:t>
            </w:r>
            <w:r w:rsidR="00C43CB2">
              <w:rPr>
                <w:rFonts w:ascii="Arial" w:hAnsi="Arial" w:cs="Arial"/>
                <w:szCs w:val="20"/>
                <w:lang w:bidi="hi-IN"/>
              </w:rPr>
              <w:t>,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 a teda neboli k dispozícii všetky prevádzkové dáta na jeho vyhodnotenie.</w:t>
            </w:r>
            <w:r w:rsidR="00060FCD">
              <w:rPr>
                <w:rFonts w:ascii="Arial" w:hAnsi="Arial" w:cs="Arial"/>
                <w:szCs w:val="20"/>
                <w:lang w:bidi="hi-IN"/>
              </w:rPr>
              <w:t xml:space="preserve"> </w:t>
            </w:r>
          </w:p>
          <w:p w14:paraId="3F897F2F" w14:textId="77777777" w:rsidR="00C43CB2" w:rsidRDefault="00C43CB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5E62EF2F" w14:textId="4C645123" w:rsidR="007F0CA5" w:rsidRPr="007F6EF3" w:rsidRDefault="00060FCD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>Vyhodnotenie pre rok 2022 bude súčasťou ďalšieho spracovania DPRPS.</w:t>
            </w:r>
          </w:p>
        </w:tc>
        <w:tc>
          <w:tcPr>
            <w:tcW w:w="2088" w:type="dxa"/>
          </w:tcPr>
          <w:p w14:paraId="147EC04F" w14:textId="4261C730" w:rsidR="00A1535B" w:rsidRPr="007F6EF3" w:rsidRDefault="0049519E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4A7ED8" w:rsidRPr="007F6EF3" w14:paraId="7B272EC7" w14:textId="77777777" w:rsidTr="00C75826">
        <w:tc>
          <w:tcPr>
            <w:tcW w:w="938" w:type="dxa"/>
          </w:tcPr>
          <w:p w14:paraId="43053AEE" w14:textId="4A68D91D" w:rsidR="004A7ED8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5.3</w:t>
            </w:r>
          </w:p>
        </w:tc>
        <w:tc>
          <w:tcPr>
            <w:tcW w:w="2886" w:type="dxa"/>
          </w:tcPr>
          <w:p w14:paraId="11D20D23" w14:textId="77777777" w:rsidR="00D7073C" w:rsidRPr="00D7073C" w:rsidRDefault="00D7073C" w:rsidP="00D7073C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D7073C">
              <w:rPr>
                <w:i/>
                <w:iCs/>
                <w:sz w:val="20"/>
                <w:szCs w:val="20"/>
              </w:rPr>
              <w:t xml:space="preserve">Systémová dostatočnosť ES SR odsek 5.3.1. Dostatočnosť </w:t>
            </w:r>
            <w:proofErr w:type="spellStart"/>
            <w:r w:rsidRPr="00D7073C">
              <w:rPr>
                <w:i/>
                <w:iCs/>
                <w:sz w:val="20"/>
                <w:szCs w:val="20"/>
              </w:rPr>
              <w:t>PpS</w:t>
            </w:r>
            <w:proofErr w:type="spellEnd"/>
            <w:r w:rsidRPr="00D7073C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95EFEC6" w14:textId="77777777" w:rsidR="00D7073C" w:rsidRDefault="00D7073C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3AB28345" w14:textId="74EDBCFB" w:rsidR="004A7ED8" w:rsidRPr="00954185" w:rsidRDefault="00AE7452" w:rsidP="00C43CB2">
            <w:pPr>
              <w:pStyle w:val="Default"/>
              <w:rPr>
                <w:i/>
                <w:sz w:val="20"/>
                <w:szCs w:val="20"/>
                <w:lang w:bidi="hi-IN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Žiadame sprístupniť metodiku, hypotézy a dáta </w:t>
            </w:r>
            <w:r w:rsidRPr="007F6EF3">
              <w:rPr>
                <w:i/>
                <w:iCs/>
                <w:sz w:val="20"/>
                <w:szCs w:val="20"/>
              </w:rPr>
              <w:lastRenderedPageBreak/>
              <w:t xml:space="preserve">vrátane klimatických scenárov použité pre výpočet potrieb FCR,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aFRR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mFRR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a TRV3 pre roky 2027 a 2032 . Deficity uvádzané v grafoch pre rok 2021 nezodpovedajú rozdielu medzi v grafoch uvádzanými požiadavkami a reálne zrealizovanými nákupmi SEPS</w:t>
            </w:r>
            <w:r w:rsidR="00C43CB2">
              <w:rPr>
                <w:i/>
                <w:iCs/>
                <w:sz w:val="20"/>
                <w:szCs w:val="20"/>
              </w:rPr>
              <w:t>.</w:t>
            </w:r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974" w:type="dxa"/>
          </w:tcPr>
          <w:p w14:paraId="513A7E3D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lastRenderedPageBreak/>
              <w:t xml:space="preserve">Uvedené hodnoty požiadaviek na </w:t>
            </w:r>
            <w:proofErr w:type="spellStart"/>
            <w:r w:rsidRPr="007F6EF3">
              <w:rPr>
                <w:sz w:val="20"/>
                <w:szCs w:val="20"/>
              </w:rPr>
              <w:t>PpS</w:t>
            </w:r>
            <w:proofErr w:type="spellEnd"/>
            <w:r w:rsidRPr="007F6EF3">
              <w:rPr>
                <w:sz w:val="20"/>
                <w:szCs w:val="20"/>
              </w:rPr>
              <w:t xml:space="preserve">, najmä čo sa týka </w:t>
            </w:r>
            <w:proofErr w:type="spellStart"/>
            <w:r w:rsidRPr="007F6EF3">
              <w:rPr>
                <w:sz w:val="20"/>
                <w:szCs w:val="20"/>
              </w:rPr>
              <w:t>aFRR</w:t>
            </w:r>
            <w:proofErr w:type="spellEnd"/>
            <w:r w:rsidRPr="007F6EF3">
              <w:rPr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sz w:val="20"/>
                <w:szCs w:val="20"/>
              </w:rPr>
              <w:t>nekorelujú</w:t>
            </w:r>
            <w:proofErr w:type="spellEnd"/>
            <w:r w:rsidRPr="007F6EF3">
              <w:rPr>
                <w:sz w:val="20"/>
                <w:szCs w:val="20"/>
              </w:rPr>
              <w:t xml:space="preserve"> s významným nárastom inštalovaného výkonu </w:t>
            </w:r>
            <w:proofErr w:type="spellStart"/>
            <w:r w:rsidRPr="007F6EF3">
              <w:rPr>
                <w:sz w:val="20"/>
                <w:szCs w:val="20"/>
              </w:rPr>
              <w:t>fotovoltických</w:t>
            </w:r>
            <w:proofErr w:type="spellEnd"/>
            <w:r w:rsidRPr="007F6EF3">
              <w:rPr>
                <w:sz w:val="20"/>
                <w:szCs w:val="20"/>
              </w:rPr>
              <w:t xml:space="preserve"> a veterných </w:t>
            </w:r>
            <w:proofErr w:type="spellStart"/>
            <w:r w:rsidRPr="007F6EF3">
              <w:rPr>
                <w:sz w:val="20"/>
                <w:szCs w:val="20"/>
              </w:rPr>
              <w:lastRenderedPageBreak/>
              <w:t>elektrárnív</w:t>
            </w:r>
            <w:proofErr w:type="spellEnd"/>
            <w:r w:rsidRPr="007F6EF3">
              <w:rPr>
                <w:sz w:val="20"/>
                <w:szCs w:val="20"/>
              </w:rPr>
              <w:t xml:space="preserve"> ES SR do roku 2032. Český dokument MAF CZ 2022</w:t>
            </w:r>
            <w:r w:rsidRPr="007F6EF3">
              <w:rPr>
                <w:sz w:val="13"/>
                <w:szCs w:val="13"/>
              </w:rPr>
              <w:t xml:space="preserve">3 </w:t>
            </w:r>
            <w:r w:rsidRPr="007F6EF3">
              <w:rPr>
                <w:sz w:val="20"/>
                <w:szCs w:val="20"/>
              </w:rPr>
              <w:t xml:space="preserve">od ČEPS predpokladá nárast potrieb FRR v horizonte 2040. V záujme transparentnosti je potrebné dodať viac informácii akým spôsobom boli potreby </w:t>
            </w:r>
            <w:proofErr w:type="spellStart"/>
            <w:r w:rsidRPr="007F6EF3">
              <w:rPr>
                <w:sz w:val="20"/>
                <w:szCs w:val="20"/>
              </w:rPr>
              <w:t>PpS</w:t>
            </w:r>
            <w:proofErr w:type="spellEnd"/>
            <w:r w:rsidRPr="007F6EF3">
              <w:rPr>
                <w:sz w:val="20"/>
                <w:szCs w:val="20"/>
              </w:rPr>
              <w:t xml:space="preserve"> pre roky 2027 a 2032 vypočítané. </w:t>
            </w:r>
          </w:p>
          <w:p w14:paraId="41637248" w14:textId="77777777" w:rsidR="0049519E" w:rsidRDefault="0049519E" w:rsidP="004951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Žiadame sprístupniť metodiku, hypotézy a dáta vrátane klimatických scenárov použité pre výpočet potrieb FCR, </w:t>
            </w:r>
            <w:proofErr w:type="spellStart"/>
            <w:r>
              <w:rPr>
                <w:sz w:val="20"/>
                <w:szCs w:val="20"/>
              </w:rPr>
              <w:t>aFRR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mFRR</w:t>
            </w:r>
            <w:proofErr w:type="spellEnd"/>
            <w:r>
              <w:rPr>
                <w:sz w:val="20"/>
                <w:szCs w:val="20"/>
              </w:rPr>
              <w:t xml:space="preserve"> a TRV3 pre roky 2027 a 2032 . Deficity uvádzané v grafoch pre rok 2021 nezodpovedajú rozdielu medzi v grafoch uvádzanými požiadavkami a reálne zrealizovanými nákupmi SEPS </w:t>
            </w:r>
          </w:p>
          <w:p w14:paraId="6D62BA7E" w14:textId="226DA6E9" w:rsidR="004A7ED8" w:rsidRPr="007F6EF3" w:rsidRDefault="004A7ED8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4825" w:type="dxa"/>
          </w:tcPr>
          <w:p w14:paraId="22EF7700" w14:textId="0F2DDB53" w:rsidR="0037123D" w:rsidRDefault="0049519E" w:rsidP="00C43CB2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lastRenderedPageBreak/>
              <w:t xml:space="preserve">Metodika výpočtu FCR, </w:t>
            </w:r>
            <w:proofErr w:type="spellStart"/>
            <w:r>
              <w:rPr>
                <w:rFonts w:ascii="Arial" w:hAnsi="Arial" w:cs="Arial"/>
                <w:szCs w:val="20"/>
                <w:lang w:bidi="hi-IN"/>
              </w:rPr>
              <w:t>aFRR</w:t>
            </w:r>
            <w:proofErr w:type="spellEnd"/>
            <w:r>
              <w:rPr>
                <w:rFonts w:ascii="Arial" w:hAnsi="Arial" w:cs="Arial"/>
                <w:szCs w:val="20"/>
                <w:lang w:bidi="hi-IN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0"/>
                <w:lang w:bidi="hi-IN"/>
              </w:rPr>
              <w:t>mFRR</w:t>
            </w:r>
            <w:proofErr w:type="spellEnd"/>
            <w:r>
              <w:rPr>
                <w:rFonts w:ascii="Arial" w:hAnsi="Arial" w:cs="Arial"/>
                <w:szCs w:val="20"/>
                <w:lang w:bidi="hi-IN"/>
              </w:rPr>
              <w:t xml:space="preserve"> a TRV3 je popísaná v Technických podmienkach SEPS,</w:t>
            </w:r>
            <w:r w:rsidR="0037123D">
              <w:rPr>
                <w:rFonts w:ascii="Arial" w:hAnsi="Arial" w:cs="Arial"/>
                <w:szCs w:val="20"/>
                <w:lang w:bidi="hi-IN"/>
              </w:rPr>
              <w:t xml:space="preserve"> dokument F, kapitola F3.</w:t>
            </w:r>
          </w:p>
          <w:p w14:paraId="7385647D" w14:textId="77777777" w:rsidR="00C43CB2" w:rsidRDefault="00C43CB2" w:rsidP="00C43CB2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098EDB05" w14:textId="4A8C2626" w:rsidR="00891F1D" w:rsidRDefault="00E01A74" w:rsidP="00C43CB2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Výpočty vychádzajú zo scenára A,  </w:t>
            </w:r>
            <w:r w:rsidR="00F21A28">
              <w:rPr>
                <w:rFonts w:ascii="Arial" w:hAnsi="Arial" w:cs="Arial"/>
                <w:szCs w:val="20"/>
                <w:lang w:bidi="hi-IN"/>
              </w:rPr>
              <w:t xml:space="preserve">z 35 </w:t>
            </w:r>
            <w:r>
              <w:rPr>
                <w:rFonts w:ascii="Arial" w:hAnsi="Arial" w:cs="Arial"/>
                <w:szCs w:val="20"/>
                <w:lang w:bidi="hi-IN"/>
              </w:rPr>
              <w:t>klimatick</w:t>
            </w:r>
            <w:r w:rsidR="00F21A28">
              <w:rPr>
                <w:rFonts w:ascii="Arial" w:hAnsi="Arial" w:cs="Arial"/>
                <w:szCs w:val="20"/>
                <w:lang w:bidi="hi-IN"/>
              </w:rPr>
              <w:t>ých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 rok</w:t>
            </w:r>
            <w:r w:rsidR="00F21A28">
              <w:rPr>
                <w:rFonts w:ascii="Arial" w:hAnsi="Arial" w:cs="Arial"/>
                <w:szCs w:val="20"/>
                <w:lang w:bidi="hi-IN"/>
              </w:rPr>
              <w:t>ov definovaných v ENTSO-E</w:t>
            </w:r>
            <w:r>
              <w:rPr>
                <w:rFonts w:ascii="Arial" w:hAnsi="Arial" w:cs="Arial"/>
                <w:szCs w:val="20"/>
                <w:lang w:bidi="hi-IN"/>
              </w:rPr>
              <w:t>,</w:t>
            </w:r>
            <w:r w:rsidR="00891F1D">
              <w:rPr>
                <w:rFonts w:ascii="Arial" w:hAnsi="Arial" w:cs="Arial"/>
                <w:szCs w:val="20"/>
                <w:lang w:bidi="hi-IN"/>
              </w:rPr>
              <w:t xml:space="preserve"> </w:t>
            </w:r>
            <w:r w:rsidR="00060FCD">
              <w:rPr>
                <w:rFonts w:ascii="Arial" w:hAnsi="Arial" w:cs="Arial"/>
                <w:szCs w:val="20"/>
                <w:lang w:bidi="hi-IN"/>
              </w:rPr>
              <w:t xml:space="preserve">z </w:t>
            </w:r>
            <w:r w:rsidR="00891F1D">
              <w:rPr>
                <w:rFonts w:ascii="Arial" w:hAnsi="Arial" w:cs="Arial"/>
                <w:szCs w:val="20"/>
                <w:lang w:bidi="hi-IN"/>
              </w:rPr>
              <w:lastRenderedPageBreak/>
              <w:t xml:space="preserve">nasadenia zdrojov elektriny </w:t>
            </w:r>
            <w:proofErr w:type="spellStart"/>
            <w:r w:rsidR="00891F1D">
              <w:rPr>
                <w:rFonts w:ascii="Arial" w:hAnsi="Arial" w:cs="Arial"/>
                <w:szCs w:val="20"/>
                <w:lang w:bidi="hi-IN"/>
              </w:rPr>
              <w:t>market</w:t>
            </w:r>
            <w:proofErr w:type="spellEnd"/>
            <w:r w:rsidR="00891F1D">
              <w:rPr>
                <w:rFonts w:ascii="Arial" w:hAnsi="Arial" w:cs="Arial"/>
                <w:szCs w:val="20"/>
                <w:lang w:bidi="hi-IN"/>
              </w:rPr>
              <w:t xml:space="preserve"> simulácií scenára A,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 certifikovaných zdrojov </w:t>
            </w:r>
            <w:r w:rsidR="00891F1D">
              <w:rPr>
                <w:rFonts w:ascii="Arial" w:hAnsi="Arial" w:cs="Arial"/>
                <w:szCs w:val="20"/>
                <w:lang w:bidi="hi-IN"/>
              </w:rPr>
              <w:t>z </w:t>
            </w:r>
            <w:r>
              <w:rPr>
                <w:rFonts w:ascii="Arial" w:hAnsi="Arial" w:cs="Arial"/>
                <w:szCs w:val="20"/>
                <w:lang w:bidi="hi-IN"/>
              </w:rPr>
              <w:t>august</w:t>
            </w:r>
            <w:r w:rsidR="00891F1D">
              <w:rPr>
                <w:rFonts w:ascii="Arial" w:hAnsi="Arial" w:cs="Arial"/>
                <w:szCs w:val="20"/>
                <w:lang w:bidi="hi-IN"/>
              </w:rPr>
              <w:t>a roku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 2022</w:t>
            </w:r>
            <w:r w:rsidR="00891F1D">
              <w:rPr>
                <w:rFonts w:ascii="Arial" w:hAnsi="Arial" w:cs="Arial"/>
                <w:szCs w:val="20"/>
                <w:lang w:bidi="hi-IN"/>
              </w:rPr>
              <w:t xml:space="preserve"> a inštalovaného výkonu OZE pre vietor a slnko podľa NECP(F55).</w:t>
            </w:r>
          </w:p>
          <w:p w14:paraId="1A67FDB1" w14:textId="0128015D" w:rsidR="00696F3D" w:rsidRDefault="00696F3D" w:rsidP="00E01A74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Hodnoty </w:t>
            </w:r>
            <w:proofErr w:type="spellStart"/>
            <w:r>
              <w:rPr>
                <w:rFonts w:ascii="Arial" w:hAnsi="Arial" w:cs="Arial"/>
                <w:szCs w:val="20"/>
                <w:lang w:bidi="hi-IN"/>
              </w:rPr>
              <w:t>PpS</w:t>
            </w:r>
            <w:proofErr w:type="spellEnd"/>
            <w:r>
              <w:rPr>
                <w:rFonts w:ascii="Arial" w:hAnsi="Arial" w:cs="Arial"/>
                <w:szCs w:val="20"/>
                <w:lang w:bidi="hi-IN"/>
              </w:rPr>
              <w:t xml:space="preserve">, najmä čo sa týka </w:t>
            </w:r>
            <w:proofErr w:type="spellStart"/>
            <w:r>
              <w:rPr>
                <w:rFonts w:ascii="Arial" w:hAnsi="Arial" w:cs="Arial"/>
                <w:szCs w:val="20"/>
                <w:lang w:bidi="hi-IN"/>
              </w:rPr>
              <w:t>aFRR</w:t>
            </w:r>
            <w:proofErr w:type="spellEnd"/>
            <w:r>
              <w:rPr>
                <w:rFonts w:ascii="Arial" w:hAnsi="Arial" w:cs="Arial"/>
                <w:szCs w:val="20"/>
                <w:lang w:bidi="hi-IN"/>
              </w:rPr>
              <w:t xml:space="preserve"> korelujú s nárastom v OZE (FVE a VTE) podľa INECP(F55) – obrázok 4.1.2_1, kap. 4.1.2 pre roky 2027 a 2032.  </w:t>
            </w:r>
          </w:p>
          <w:p w14:paraId="52D5A153" w14:textId="77777777" w:rsidR="00C43CB2" w:rsidRDefault="00C43CB2" w:rsidP="00C43CB2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081D1BE5" w14:textId="77777777" w:rsidR="0024785F" w:rsidRDefault="00891F1D" w:rsidP="00C43CB2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V grafoch pre rok 2021 sú uvedené priemery </w:t>
            </w:r>
            <w:r w:rsidR="00060FCD">
              <w:rPr>
                <w:rFonts w:ascii="Arial" w:hAnsi="Arial" w:cs="Arial"/>
                <w:szCs w:val="20"/>
                <w:lang w:bidi="hi-IN"/>
              </w:rPr>
              <w:t>v</w:t>
            </w:r>
            <w:r>
              <w:rPr>
                <w:rFonts w:ascii="Arial" w:hAnsi="Arial" w:cs="Arial"/>
                <w:szCs w:val="20"/>
                <w:lang w:bidi="hi-IN"/>
              </w:rPr>
              <w:t> týždenných maxím</w:t>
            </w:r>
            <w:r w:rsidR="00060FCD">
              <w:rPr>
                <w:rFonts w:ascii="Arial" w:hAnsi="Arial" w:cs="Arial"/>
                <w:szCs w:val="20"/>
                <w:lang w:bidi="hi-IN"/>
              </w:rPr>
              <w:t xml:space="preserve"> zaťaženia</w:t>
            </w:r>
            <w:r w:rsidR="00C43CB2">
              <w:rPr>
                <w:rFonts w:ascii="Arial" w:hAnsi="Arial" w:cs="Arial"/>
                <w:szCs w:val="20"/>
                <w:lang w:bidi="hi-IN"/>
              </w:rPr>
              <w:t xml:space="preserve">, preto nemôžu zodpovedať </w:t>
            </w:r>
            <w:r w:rsidR="00C43CB2" w:rsidRPr="00C43CB2">
              <w:rPr>
                <w:rFonts w:ascii="Arial" w:hAnsi="Arial" w:cs="Arial"/>
                <w:szCs w:val="20"/>
                <w:lang w:bidi="hi-IN"/>
              </w:rPr>
              <w:t>reálne zrealizovaným nákup</w:t>
            </w:r>
            <w:r w:rsidR="00C43CB2">
              <w:rPr>
                <w:rFonts w:ascii="Arial" w:hAnsi="Arial" w:cs="Arial"/>
                <w:szCs w:val="20"/>
                <w:lang w:bidi="hi-IN"/>
              </w:rPr>
              <w:t>o</w:t>
            </w:r>
            <w:r w:rsidR="00C43CB2" w:rsidRPr="00C43CB2">
              <w:rPr>
                <w:rFonts w:ascii="Arial" w:hAnsi="Arial" w:cs="Arial"/>
                <w:szCs w:val="20"/>
                <w:lang w:bidi="hi-IN"/>
              </w:rPr>
              <w:t>m SEPS</w:t>
            </w:r>
            <w:r w:rsidR="00C43CB2">
              <w:rPr>
                <w:rFonts w:ascii="Arial" w:hAnsi="Arial" w:cs="Arial"/>
                <w:szCs w:val="20"/>
                <w:lang w:bidi="hi-IN"/>
              </w:rPr>
              <w:t>.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 </w:t>
            </w:r>
          </w:p>
          <w:p w14:paraId="75AAA3A7" w14:textId="77777777" w:rsidR="0024785F" w:rsidRDefault="0024785F" w:rsidP="00C43CB2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2E553E52" w14:textId="77777777" w:rsidR="0024785F" w:rsidRDefault="0024785F" w:rsidP="0024785F">
            <w:pPr>
              <w:pStyle w:val="Zkladntext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>Dáta:</w:t>
            </w:r>
          </w:p>
          <w:p w14:paraId="1744A4FC" w14:textId="7BD889CB" w:rsidR="0024785F" w:rsidRDefault="0024785F" w:rsidP="0024785F">
            <w:pPr>
              <w:pStyle w:val="Zkladntext"/>
              <w:numPr>
                <w:ilvl w:val="0"/>
                <w:numId w:val="15"/>
              </w:numPr>
              <w:ind w:left="316" w:hanging="284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Výroba </w:t>
            </w:r>
            <w:r w:rsidR="00AB346D">
              <w:rPr>
                <w:rFonts w:ascii="Arial" w:hAnsi="Arial" w:cs="Arial"/>
                <w:szCs w:val="20"/>
                <w:lang w:bidi="hi-IN"/>
              </w:rPr>
              <w:t>a spotreba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 </w:t>
            </w:r>
            <w:r w:rsidR="00AB346D">
              <w:rPr>
                <w:rFonts w:ascii="Arial" w:hAnsi="Arial" w:cs="Arial"/>
                <w:szCs w:val="20"/>
                <w:lang w:bidi="hi-IN"/>
              </w:rPr>
              <w:t xml:space="preserve">je </w:t>
            </w:r>
            <w:r w:rsidR="00C30E56">
              <w:rPr>
                <w:rFonts w:ascii="Arial" w:hAnsi="Arial" w:cs="Arial"/>
                <w:szCs w:val="20"/>
                <w:lang w:bidi="hi-IN"/>
              </w:rPr>
              <w:t xml:space="preserve">uvedená </w:t>
            </w:r>
            <w:r>
              <w:rPr>
                <w:rFonts w:ascii="Arial" w:hAnsi="Arial" w:cs="Arial"/>
                <w:szCs w:val="20"/>
                <w:lang w:bidi="hi-IN"/>
              </w:rPr>
              <w:t>v DPRPS</w:t>
            </w:r>
          </w:p>
          <w:p w14:paraId="4B0AF410" w14:textId="153594C8" w:rsidR="0024785F" w:rsidRDefault="0024785F" w:rsidP="0024785F">
            <w:pPr>
              <w:pStyle w:val="Zkladntext"/>
              <w:numPr>
                <w:ilvl w:val="0"/>
                <w:numId w:val="15"/>
              </w:numPr>
              <w:ind w:left="316" w:hanging="284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Vývoj </w:t>
            </w:r>
            <w:proofErr w:type="spellStart"/>
            <w:r>
              <w:rPr>
                <w:rFonts w:ascii="Arial" w:hAnsi="Arial" w:cs="Arial"/>
                <w:szCs w:val="20"/>
                <w:lang w:bidi="hi-IN"/>
              </w:rPr>
              <w:t>Pinst</w:t>
            </w:r>
            <w:proofErr w:type="spellEnd"/>
            <w:r>
              <w:rPr>
                <w:rFonts w:ascii="Arial" w:hAnsi="Arial" w:cs="Arial"/>
                <w:szCs w:val="20"/>
                <w:lang w:bidi="hi-IN"/>
              </w:rPr>
              <w:t>, vrátane FVE a VTE je zverejnená v rámci DPRPS</w:t>
            </w:r>
          </w:p>
          <w:p w14:paraId="7F995819" w14:textId="18C632CE" w:rsidR="004A7ED8" w:rsidRPr="007F6EF3" w:rsidRDefault="0024785F" w:rsidP="0024785F">
            <w:pPr>
              <w:pStyle w:val="Zkladntext"/>
              <w:numPr>
                <w:ilvl w:val="0"/>
                <w:numId w:val="15"/>
              </w:numPr>
              <w:ind w:left="316" w:hanging="284"/>
              <w:rPr>
                <w:rFonts w:ascii="Arial" w:hAnsi="Arial" w:cs="Arial"/>
                <w:szCs w:val="20"/>
                <w:lang w:bidi="hi-IN"/>
              </w:rPr>
            </w:pPr>
            <w:r w:rsidRPr="00467826">
              <w:rPr>
                <w:rFonts w:ascii="Arial" w:hAnsi="Arial" w:cs="Arial"/>
                <w:szCs w:val="20"/>
                <w:lang w:bidi="hi-IN"/>
              </w:rPr>
              <w:t>Klimatické roky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: </w:t>
            </w:r>
            <w:r w:rsidR="003F5A26">
              <w:rPr>
                <w:rFonts w:ascii="Arial" w:hAnsi="Arial" w:cs="Arial"/>
                <w:szCs w:val="20"/>
                <w:lang w:bidi="hi-IN"/>
              </w:rPr>
              <w:t xml:space="preserve">prevzaté z </w:t>
            </w:r>
            <w:hyperlink r:id="rId11" w:history="1">
              <w:r w:rsidR="003F5A26" w:rsidRPr="00D61386">
                <w:rPr>
                  <w:rStyle w:val="Hypertextovprepojenie"/>
                  <w:rFonts w:ascii="Arial" w:hAnsi="Arial" w:cs="Arial"/>
                  <w:szCs w:val="20"/>
                  <w:lang w:bidi="hi-IN"/>
                </w:rPr>
                <w:t>https://www.entsoe.eu/outlooks/eraa/2022/eraa-downloads/</w:t>
              </w:r>
            </w:hyperlink>
            <w:r w:rsidR="00891F1D">
              <w:rPr>
                <w:rFonts w:ascii="Arial" w:hAnsi="Arial" w:cs="Arial"/>
                <w:szCs w:val="20"/>
                <w:lang w:bidi="hi-IN"/>
              </w:rPr>
              <w:t xml:space="preserve">   </w:t>
            </w:r>
            <w:r w:rsidR="00E01A74">
              <w:rPr>
                <w:rFonts w:ascii="Arial" w:hAnsi="Arial" w:cs="Arial"/>
                <w:szCs w:val="20"/>
                <w:lang w:bidi="hi-IN"/>
              </w:rPr>
              <w:t xml:space="preserve"> </w:t>
            </w:r>
          </w:p>
        </w:tc>
        <w:tc>
          <w:tcPr>
            <w:tcW w:w="2088" w:type="dxa"/>
          </w:tcPr>
          <w:p w14:paraId="38D5BFAD" w14:textId="0D881295" w:rsidR="004A7ED8" w:rsidRPr="007F6EF3" w:rsidRDefault="009C093A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ČIASTOČNE</w:t>
            </w:r>
          </w:p>
        </w:tc>
      </w:tr>
      <w:tr w:rsidR="00AE7452" w:rsidRPr="007F6EF3" w14:paraId="49A4B7E6" w14:textId="77777777" w:rsidTr="00C75826">
        <w:tc>
          <w:tcPr>
            <w:tcW w:w="938" w:type="dxa"/>
          </w:tcPr>
          <w:p w14:paraId="2DF0ADE1" w14:textId="0EB2AB2C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6.2</w:t>
            </w:r>
          </w:p>
        </w:tc>
        <w:tc>
          <w:tcPr>
            <w:tcW w:w="2886" w:type="dxa"/>
          </w:tcPr>
          <w:p w14:paraId="6AF0F16A" w14:textId="77777777" w:rsidR="00AE7452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Predpokladaný rok odstavenia z prevádzky vedení V071, V072 by mal byť do roku 2027, nie 2024. </w:t>
            </w:r>
          </w:p>
          <w:p w14:paraId="054B565A" w14:textId="05FA35DC" w:rsidR="00F23524" w:rsidRPr="007F6EF3" w:rsidRDefault="00F23524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4" w:type="dxa"/>
          </w:tcPr>
          <w:p w14:paraId="363C645B" w14:textId="7380D6A2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t xml:space="preserve">Odstavenie týchto vedení nie je kompatibilné s prevádzkou EVO do roku 2027. </w:t>
            </w:r>
          </w:p>
        </w:tc>
        <w:tc>
          <w:tcPr>
            <w:tcW w:w="4825" w:type="dxa"/>
          </w:tcPr>
          <w:p w14:paraId="45E2D099" w14:textId="6E00C1D5" w:rsidR="00AE7452" w:rsidRPr="007F6EF3" w:rsidRDefault="00265BDF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>Údaj v DPRPS 2033 korešponduje s platnými zmluvami medzi SEPS a SE.</w:t>
            </w:r>
          </w:p>
        </w:tc>
        <w:tc>
          <w:tcPr>
            <w:tcW w:w="2088" w:type="dxa"/>
          </w:tcPr>
          <w:p w14:paraId="296959BF" w14:textId="1F253FFC" w:rsidR="00AE7452" w:rsidRPr="007F6EF3" w:rsidRDefault="00F23524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AE7452" w:rsidRPr="007F6EF3" w14:paraId="0F3F8109" w14:textId="77777777" w:rsidTr="00C75826">
        <w:tc>
          <w:tcPr>
            <w:tcW w:w="938" w:type="dxa"/>
          </w:tcPr>
          <w:p w14:paraId="370171AA" w14:textId="425A90B7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6.3</w:t>
            </w:r>
          </w:p>
        </w:tc>
        <w:tc>
          <w:tcPr>
            <w:tcW w:w="2886" w:type="dxa"/>
          </w:tcPr>
          <w:p w14:paraId="4D72537C" w14:textId="58A31D84" w:rsidR="00AE7452" w:rsidRPr="007F6EF3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Medzi investičné projekty navrhujeme doplniť aj </w:t>
            </w:r>
            <w:r w:rsidRPr="007F6EF3">
              <w:rPr>
                <w:i/>
                <w:iCs/>
                <w:sz w:val="23"/>
                <w:szCs w:val="23"/>
              </w:rPr>
              <w:t>„Z</w:t>
            </w:r>
            <w:r w:rsidRPr="007F6EF3">
              <w:rPr>
                <w:i/>
                <w:iCs/>
                <w:sz w:val="20"/>
                <w:szCs w:val="20"/>
              </w:rPr>
              <w:t xml:space="preserve">dvojenie severnej vetvy 400kV Čierny Váh-Spišská Nová Ves“ </w:t>
            </w:r>
          </w:p>
        </w:tc>
        <w:tc>
          <w:tcPr>
            <w:tcW w:w="2974" w:type="dxa"/>
          </w:tcPr>
          <w:p w14:paraId="3047CB9C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t xml:space="preserve">V rámci útlmu 220kV PS, treba prehodnotiť potrebu zdvojenia severnej vetvy 400kV Čierny Váh-Spišská Nová Ves najmä s ohľadom na posilnenie severnej vetvy PS a </w:t>
            </w:r>
            <w:r w:rsidRPr="007F6EF3">
              <w:rPr>
                <w:sz w:val="20"/>
                <w:szCs w:val="20"/>
              </w:rPr>
              <w:lastRenderedPageBreak/>
              <w:t xml:space="preserve">predpokladaného zvýšeného významu lokality PVE Čierny Váh pre stabilizáciu siete pri vyššom podiele OZE. Tento projekt by sa dal prihlásiť do TYNDP 2024 ako interné posilnenie slovenskej prenosovej sústavy a následne sa uchádzať o miesto na 7. PCI zozname spolu s projektom Integrátor SE, keďže medzi obidvoma projektami existujú synergie. </w:t>
            </w:r>
          </w:p>
          <w:p w14:paraId="35F995E3" w14:textId="007554ED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25" w:type="dxa"/>
          </w:tcPr>
          <w:p w14:paraId="42F7F723" w14:textId="595D33F2" w:rsidR="00AE7452" w:rsidRPr="007F6EF3" w:rsidRDefault="007878E1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lastRenderedPageBreak/>
              <w:t>Význam a opodstatnenosť tohto</w:t>
            </w:r>
            <w:r w:rsidR="002A392F">
              <w:rPr>
                <w:rFonts w:ascii="Arial" w:hAnsi="Arial" w:cs="Arial"/>
                <w:szCs w:val="20"/>
                <w:lang w:bidi="hi-IN"/>
              </w:rPr>
              <w:t xml:space="preserve"> navrhovaného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 projektu a jeho následné zaradenie do investičného plánu SEPS bude potrebné posúdiť, či už v dôsledku projektu Integrátor SE, alebo z dôvodu iných potrieb PS</w:t>
            </w:r>
            <w:r w:rsidR="003F5A26">
              <w:rPr>
                <w:rFonts w:ascii="Arial" w:hAnsi="Arial" w:cs="Arial"/>
                <w:szCs w:val="20"/>
                <w:lang w:bidi="hi-IN"/>
              </w:rPr>
              <w:t>, resp. na základe žiadosti niektorého užívateľa PS</w:t>
            </w:r>
            <w:r>
              <w:rPr>
                <w:rFonts w:ascii="Arial" w:hAnsi="Arial" w:cs="Arial"/>
                <w:szCs w:val="20"/>
                <w:lang w:bidi="hi-IN"/>
              </w:rPr>
              <w:t>.</w:t>
            </w:r>
            <w:r w:rsidR="002A392F">
              <w:rPr>
                <w:rFonts w:ascii="Arial" w:hAnsi="Arial" w:cs="Arial"/>
                <w:szCs w:val="20"/>
                <w:lang w:bidi="hi-IN"/>
              </w:rPr>
              <w:t xml:space="preserve"> </w:t>
            </w:r>
          </w:p>
        </w:tc>
        <w:tc>
          <w:tcPr>
            <w:tcW w:w="2088" w:type="dxa"/>
          </w:tcPr>
          <w:p w14:paraId="3DD0D31B" w14:textId="5D97CFF8" w:rsidR="00AE7452" w:rsidRPr="007F6EF3" w:rsidRDefault="00F23524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AE7452" w:rsidRPr="007F6EF3" w14:paraId="27951D2B" w14:textId="77777777" w:rsidTr="00C75826">
        <w:tc>
          <w:tcPr>
            <w:tcW w:w="938" w:type="dxa"/>
          </w:tcPr>
          <w:p w14:paraId="1FFC4C85" w14:textId="59F0D584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5.1</w:t>
            </w:r>
          </w:p>
        </w:tc>
        <w:tc>
          <w:tcPr>
            <w:tcW w:w="2886" w:type="dxa"/>
          </w:tcPr>
          <w:p w14:paraId="5F635C82" w14:textId="77777777" w:rsidR="00AE7452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V tomto odseku je potrebné popísať prevádzku elektrizačnej sústavy na východe Slovenska po odstavení EVO a v prípade nového veľkého odberu pri realizovaní investície Volvo a/alebo oblúkových pecí US Steel. </w:t>
            </w:r>
          </w:p>
          <w:p w14:paraId="2D103DF2" w14:textId="02F3D5F2" w:rsidR="00F23524" w:rsidRPr="007F6EF3" w:rsidRDefault="00F23524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4" w:type="dxa"/>
          </w:tcPr>
          <w:p w14:paraId="63252628" w14:textId="2AD39E61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t xml:space="preserve">Žiadny subjekt nebude v pozícii pripraviť projekt pre možné riešenie problému v </w:t>
            </w:r>
            <w:r w:rsidR="00F23524" w:rsidRPr="007F6EF3">
              <w:rPr>
                <w:sz w:val="20"/>
                <w:szCs w:val="20"/>
              </w:rPr>
              <w:t>regióne</w:t>
            </w:r>
            <w:r w:rsidRPr="007F6EF3">
              <w:rPr>
                <w:sz w:val="20"/>
                <w:szCs w:val="20"/>
              </w:rPr>
              <w:t xml:space="preserve"> východného Slovenska ak táto potreba nie je explicitne popísaná v DPRPS. </w:t>
            </w:r>
          </w:p>
        </w:tc>
        <w:tc>
          <w:tcPr>
            <w:tcW w:w="4825" w:type="dxa"/>
          </w:tcPr>
          <w:p w14:paraId="0B3A1191" w14:textId="28FEF688" w:rsidR="00AE7452" w:rsidRDefault="003F5A26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>Konkrétne in</w:t>
            </w:r>
            <w:r w:rsidR="00AF2C97">
              <w:rPr>
                <w:rFonts w:ascii="Arial" w:hAnsi="Arial" w:cs="Arial"/>
                <w:szCs w:val="20"/>
                <w:lang w:bidi="hi-IN"/>
              </w:rPr>
              <w:t xml:space="preserve">vestičné potreby do </w:t>
            </w:r>
            <w:r w:rsidR="00D260ED">
              <w:rPr>
                <w:rFonts w:ascii="Arial" w:hAnsi="Arial" w:cs="Arial"/>
                <w:szCs w:val="20"/>
                <w:lang w:bidi="hi-IN"/>
              </w:rPr>
              <w:t xml:space="preserve">posilnenia </w:t>
            </w:r>
            <w:r w:rsidR="00AF2C97">
              <w:rPr>
                <w:rFonts w:ascii="Arial" w:hAnsi="Arial" w:cs="Arial"/>
                <w:szCs w:val="20"/>
                <w:lang w:bidi="hi-IN"/>
              </w:rPr>
              <w:t>P</w:t>
            </w:r>
            <w:r w:rsidR="002A392F">
              <w:rPr>
                <w:rFonts w:ascii="Arial" w:hAnsi="Arial" w:cs="Arial"/>
                <w:szCs w:val="20"/>
                <w:lang w:bidi="hi-IN"/>
              </w:rPr>
              <w:t xml:space="preserve">S SR po odstavení EVO </w:t>
            </w:r>
            <w:r w:rsidR="00AF2C97">
              <w:rPr>
                <w:rFonts w:ascii="Arial" w:hAnsi="Arial" w:cs="Arial"/>
                <w:szCs w:val="20"/>
                <w:lang w:bidi="hi-IN"/>
              </w:rPr>
              <w:t>momentálne indikované nie sú. V prípade požiadaviek potenciálnych investorov do výstavby odberných zariadení alebo zariadení na výrobu elektriny na úrovni PS SR bude SEPS postupovať v súlade so svojim Prevádzkovým poriadkom. Tzn., na základe individuálnej štúdie vplyvu zariadení žiadateľa na sústavu budú identifikované potrebné opatrenia na strane sústavy, ako aj na strane žiadateľa.</w:t>
            </w:r>
          </w:p>
          <w:p w14:paraId="2335C40B" w14:textId="3CC5CC44" w:rsidR="00D260ED" w:rsidRPr="007F6EF3" w:rsidRDefault="00D260ED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8" w:type="dxa"/>
          </w:tcPr>
          <w:p w14:paraId="60AEA8F8" w14:textId="1E2FCF41" w:rsidR="00AE7452" w:rsidRPr="007F6EF3" w:rsidRDefault="002A392F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AE7452" w:rsidRPr="007F6EF3" w14:paraId="6C67E8DD" w14:textId="77777777" w:rsidTr="00C75826">
        <w:tc>
          <w:tcPr>
            <w:tcW w:w="938" w:type="dxa"/>
          </w:tcPr>
          <w:p w14:paraId="5EE3061C" w14:textId="7B8EAABD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4.2</w:t>
            </w:r>
          </w:p>
        </w:tc>
        <w:tc>
          <w:tcPr>
            <w:tcW w:w="2886" w:type="dxa"/>
          </w:tcPr>
          <w:p w14:paraId="614A7016" w14:textId="77777777" w:rsidR="00AE7452" w:rsidRPr="007F6EF3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Pre scenár B „ noví veľkí odberatelia elektriny“ je potrebné explicitne špecifikovať aj objem nového odberu v GWh. </w:t>
            </w:r>
          </w:p>
          <w:p w14:paraId="466E4553" w14:textId="77777777" w:rsidR="00AE7452" w:rsidRPr="007F6EF3" w:rsidRDefault="00AE7452" w:rsidP="00265B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bidi="hi-IN"/>
              </w:rPr>
            </w:pPr>
          </w:p>
        </w:tc>
        <w:tc>
          <w:tcPr>
            <w:tcW w:w="2974" w:type="dxa"/>
          </w:tcPr>
          <w:p w14:paraId="0F7CDB29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t xml:space="preserve">Popis scenára bez odhadu odberu v GWh nie je dostatočne zrozumiteľný </w:t>
            </w:r>
          </w:p>
          <w:p w14:paraId="0F66633D" w14:textId="77777777" w:rsidR="00AE7452" w:rsidRPr="007F6EF3" w:rsidRDefault="00AE745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4825" w:type="dxa"/>
          </w:tcPr>
          <w:p w14:paraId="6C8A2C10" w14:textId="77777777" w:rsidR="00787789" w:rsidRDefault="00787789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>Kvalitatívny popis scenárov v kapitole 4.2 je dostatočný.</w:t>
            </w:r>
          </w:p>
          <w:p w14:paraId="295FD6BA" w14:textId="77777777" w:rsidR="00C43CB2" w:rsidRDefault="00C43CB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6A085AEB" w14:textId="77777777" w:rsidR="00787789" w:rsidRDefault="00787789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>Konkrétne navýšenie odberu oproti očakávanému scenáru, spolu s ostatnými ukazovateľmi, sa uvádza v časti 5.1.</w:t>
            </w:r>
          </w:p>
          <w:p w14:paraId="65F9C5B8" w14:textId="5CBD6CEB" w:rsidR="00C43CB2" w:rsidRPr="007F6EF3" w:rsidRDefault="00C43CB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8" w:type="dxa"/>
          </w:tcPr>
          <w:p w14:paraId="3A230447" w14:textId="2A5C49E4" w:rsidR="00AE7452" w:rsidRPr="007F6EF3" w:rsidRDefault="00787789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AE7452" w:rsidRPr="007F6EF3" w14:paraId="2392081F" w14:textId="77777777" w:rsidTr="00C75826">
        <w:tc>
          <w:tcPr>
            <w:tcW w:w="938" w:type="dxa"/>
          </w:tcPr>
          <w:p w14:paraId="1D9C465E" w14:textId="307D031E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4.2</w:t>
            </w:r>
          </w:p>
        </w:tc>
        <w:tc>
          <w:tcPr>
            <w:tcW w:w="2886" w:type="dxa"/>
          </w:tcPr>
          <w:p w14:paraId="050CF81B" w14:textId="77777777" w:rsidR="00AE7452" w:rsidRPr="007F6EF3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Je potrebné zdôvodniť z akého dôvodu bol vybraný </w:t>
            </w:r>
            <w:r w:rsidRPr="007F6EF3">
              <w:rPr>
                <w:i/>
                <w:iCs/>
                <w:sz w:val="20"/>
                <w:szCs w:val="20"/>
              </w:rPr>
              <w:lastRenderedPageBreak/>
              <w:t xml:space="preserve">scenár ENTSOE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Distributed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Energy a nie scenár ENTSOE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Global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Ambition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. Je potrebné explicitne popísať vstupné hypotézy tohto scenára a pridať referenciu na príslušné dokumenty ENTSOE ktoré tento scenár detailne popisujú. </w:t>
            </w:r>
          </w:p>
          <w:p w14:paraId="0F44389A" w14:textId="77777777" w:rsidR="00AE7452" w:rsidRPr="007F6EF3" w:rsidRDefault="00AE7452" w:rsidP="00265B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bidi="hi-IN"/>
              </w:rPr>
            </w:pPr>
          </w:p>
        </w:tc>
        <w:tc>
          <w:tcPr>
            <w:tcW w:w="2974" w:type="dxa"/>
          </w:tcPr>
          <w:p w14:paraId="41348F40" w14:textId="5F6A0FFA" w:rsidR="00AE7452" w:rsidRPr="00C0644A" w:rsidRDefault="00AE7452" w:rsidP="00265BDF">
            <w:pPr>
              <w:pStyle w:val="Default"/>
              <w:rPr>
                <w:sz w:val="20"/>
                <w:szCs w:val="20"/>
              </w:rPr>
            </w:pPr>
            <w:r w:rsidRPr="00C0644A">
              <w:rPr>
                <w:sz w:val="20"/>
                <w:szCs w:val="20"/>
              </w:rPr>
              <w:lastRenderedPageBreak/>
              <w:t xml:space="preserve">Aktuálne znenie nedostatočne popisuje scenár </w:t>
            </w:r>
            <w:proofErr w:type="spellStart"/>
            <w:r w:rsidRPr="00C0644A">
              <w:rPr>
                <w:sz w:val="20"/>
                <w:szCs w:val="20"/>
              </w:rPr>
              <w:t>Distributed</w:t>
            </w:r>
            <w:proofErr w:type="spellEnd"/>
            <w:r w:rsidRPr="00C0644A">
              <w:rPr>
                <w:sz w:val="20"/>
                <w:szCs w:val="20"/>
              </w:rPr>
              <w:t xml:space="preserve"> </w:t>
            </w:r>
            <w:proofErr w:type="spellStart"/>
            <w:r w:rsidRPr="00C0644A">
              <w:rPr>
                <w:sz w:val="20"/>
                <w:szCs w:val="20"/>
              </w:rPr>
              <w:lastRenderedPageBreak/>
              <w:t>energy</w:t>
            </w:r>
            <w:proofErr w:type="spellEnd"/>
            <w:r w:rsidRPr="00C0644A">
              <w:rPr>
                <w:sz w:val="20"/>
                <w:szCs w:val="20"/>
              </w:rPr>
              <w:t xml:space="preserve"> a jeho vstupné hypotézy ako zníženie spotreby energie a zníženie individuálnej mobility. V záujme transparentnosti je potrebné tento popis spresniť. Zároveň je potrebné náležite zdôvodniť prečo bol vybraný scenár </w:t>
            </w:r>
            <w:proofErr w:type="spellStart"/>
            <w:r w:rsidRPr="00C0644A">
              <w:rPr>
                <w:sz w:val="20"/>
                <w:szCs w:val="20"/>
              </w:rPr>
              <w:t>Distributed</w:t>
            </w:r>
            <w:proofErr w:type="spellEnd"/>
            <w:r w:rsidRPr="00C0644A">
              <w:rPr>
                <w:sz w:val="20"/>
                <w:szCs w:val="20"/>
              </w:rPr>
              <w:t xml:space="preserve"> Energy a nie scenár </w:t>
            </w:r>
            <w:proofErr w:type="spellStart"/>
            <w:r w:rsidRPr="00C0644A">
              <w:rPr>
                <w:sz w:val="20"/>
                <w:szCs w:val="20"/>
              </w:rPr>
              <w:t>Global</w:t>
            </w:r>
            <w:proofErr w:type="spellEnd"/>
            <w:r w:rsidRPr="00C0644A">
              <w:rPr>
                <w:sz w:val="20"/>
                <w:szCs w:val="20"/>
              </w:rPr>
              <w:t xml:space="preserve"> </w:t>
            </w:r>
            <w:proofErr w:type="spellStart"/>
            <w:r w:rsidRPr="00C0644A">
              <w:rPr>
                <w:sz w:val="20"/>
                <w:szCs w:val="20"/>
              </w:rPr>
              <w:t>Ambition</w:t>
            </w:r>
            <w:proofErr w:type="spellEnd"/>
            <w:r w:rsidRPr="00C0644A">
              <w:rPr>
                <w:sz w:val="20"/>
                <w:szCs w:val="20"/>
              </w:rPr>
              <w:t xml:space="preserve"> napriek tomu, že scenár </w:t>
            </w:r>
            <w:proofErr w:type="spellStart"/>
            <w:r w:rsidRPr="00C0644A">
              <w:rPr>
                <w:sz w:val="20"/>
                <w:szCs w:val="20"/>
              </w:rPr>
              <w:t>Global</w:t>
            </w:r>
            <w:proofErr w:type="spellEnd"/>
            <w:r w:rsidRPr="00C0644A">
              <w:rPr>
                <w:sz w:val="20"/>
                <w:szCs w:val="20"/>
              </w:rPr>
              <w:t xml:space="preserve"> </w:t>
            </w:r>
            <w:proofErr w:type="spellStart"/>
            <w:r w:rsidRPr="00C0644A">
              <w:rPr>
                <w:sz w:val="20"/>
                <w:szCs w:val="20"/>
              </w:rPr>
              <w:t>Ambition</w:t>
            </w:r>
            <w:proofErr w:type="spellEnd"/>
            <w:r w:rsidRPr="00C0644A">
              <w:rPr>
                <w:sz w:val="20"/>
                <w:szCs w:val="20"/>
              </w:rPr>
              <w:t xml:space="preserve"> je bližší koncepcii energetickej </w:t>
            </w:r>
            <w:proofErr w:type="spellStart"/>
            <w:r w:rsidRPr="00C0644A">
              <w:rPr>
                <w:sz w:val="20"/>
                <w:szCs w:val="20"/>
              </w:rPr>
              <w:t>politky</w:t>
            </w:r>
            <w:proofErr w:type="spellEnd"/>
            <w:r w:rsidRPr="00C0644A">
              <w:rPr>
                <w:sz w:val="20"/>
                <w:szCs w:val="20"/>
              </w:rPr>
              <w:t xml:space="preserve"> SR a spĺňa rovnaké klimatické </w:t>
            </w:r>
            <w:r w:rsidR="00F23524" w:rsidRPr="00C0644A">
              <w:rPr>
                <w:sz w:val="20"/>
                <w:szCs w:val="20"/>
              </w:rPr>
              <w:t>ciele</w:t>
            </w:r>
            <w:r w:rsidRPr="00C0644A">
              <w:rPr>
                <w:sz w:val="20"/>
                <w:szCs w:val="20"/>
              </w:rPr>
              <w:t xml:space="preserve"> ako </w:t>
            </w:r>
            <w:proofErr w:type="spellStart"/>
            <w:r w:rsidRPr="00C0644A">
              <w:rPr>
                <w:sz w:val="20"/>
                <w:szCs w:val="20"/>
              </w:rPr>
              <w:t>Distributed</w:t>
            </w:r>
            <w:proofErr w:type="spellEnd"/>
            <w:r w:rsidRPr="00C0644A">
              <w:rPr>
                <w:sz w:val="20"/>
                <w:szCs w:val="20"/>
              </w:rPr>
              <w:t xml:space="preserve"> Energy. Scenár </w:t>
            </w:r>
            <w:proofErr w:type="spellStart"/>
            <w:r w:rsidRPr="00C0644A">
              <w:rPr>
                <w:sz w:val="20"/>
                <w:szCs w:val="20"/>
              </w:rPr>
              <w:t>Distributed</w:t>
            </w:r>
            <w:proofErr w:type="spellEnd"/>
            <w:r w:rsidRPr="00C0644A">
              <w:rPr>
                <w:sz w:val="20"/>
                <w:szCs w:val="20"/>
              </w:rPr>
              <w:t xml:space="preserve"> Energy, ktorý v horizonte 2050 vidí pokles inštalovanej kapacity jadra na Slovensku na cca 1300 MW je v priamom rozpore s aktuálnym dokumentom INECP SR. Keďže tento scenár tiež vidí </w:t>
            </w:r>
            <w:proofErr w:type="spellStart"/>
            <w:r w:rsidRPr="00C0644A">
              <w:rPr>
                <w:sz w:val="20"/>
                <w:szCs w:val="20"/>
              </w:rPr>
              <w:t>exit</w:t>
            </w:r>
            <w:proofErr w:type="spellEnd"/>
            <w:r w:rsidRPr="00C0644A">
              <w:rPr>
                <w:sz w:val="20"/>
                <w:szCs w:val="20"/>
              </w:rPr>
              <w:t xml:space="preserve"> jadra v Českej republike do roku 2050 je nutné prísť k záveru, že tento scenár nie je realizovateľný v podmienkach </w:t>
            </w:r>
            <w:proofErr w:type="spellStart"/>
            <w:r w:rsidRPr="00C0644A">
              <w:rPr>
                <w:sz w:val="20"/>
                <w:szCs w:val="20"/>
              </w:rPr>
              <w:t>stredo</w:t>
            </w:r>
            <w:proofErr w:type="spellEnd"/>
            <w:r w:rsidRPr="00C0644A">
              <w:rPr>
                <w:sz w:val="20"/>
                <w:szCs w:val="20"/>
              </w:rPr>
              <w:t xml:space="preserve"> európskej elektrizačnej sústavy a nemal by sa ďalej používať v žiadnom národnom strategickom dokumente. </w:t>
            </w:r>
          </w:p>
          <w:p w14:paraId="473C251E" w14:textId="77777777" w:rsidR="00AE7452" w:rsidRPr="00C0644A" w:rsidRDefault="00AE745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4825" w:type="dxa"/>
          </w:tcPr>
          <w:p w14:paraId="146DA41B" w14:textId="607F97A2" w:rsidR="006373D4" w:rsidRPr="00C0644A" w:rsidRDefault="006373D4" w:rsidP="009C0658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 w:rsidRPr="00C0644A">
              <w:rPr>
                <w:rFonts w:ascii="Arial" w:hAnsi="Arial" w:cs="Arial"/>
                <w:szCs w:val="20"/>
                <w:lang w:bidi="hi-IN"/>
              </w:rPr>
              <w:lastRenderedPageBreak/>
              <w:t xml:space="preserve">Odôvodnenie voľby scenára pre potreby DPRPS </w:t>
            </w:r>
            <w:r w:rsidR="00262299" w:rsidRPr="00C0644A">
              <w:rPr>
                <w:rFonts w:ascii="Arial" w:hAnsi="Arial" w:cs="Arial"/>
                <w:szCs w:val="20"/>
                <w:lang w:bidi="hi-IN"/>
              </w:rPr>
              <w:t>je</w:t>
            </w:r>
            <w:r w:rsidRPr="00C0644A">
              <w:rPr>
                <w:rFonts w:ascii="Arial" w:hAnsi="Arial" w:cs="Arial"/>
                <w:szCs w:val="20"/>
                <w:lang w:bidi="hi-IN"/>
              </w:rPr>
              <w:t xml:space="preserve"> dostatočné.</w:t>
            </w:r>
          </w:p>
          <w:p w14:paraId="210852BF" w14:textId="77777777" w:rsidR="006373D4" w:rsidRPr="00C0644A" w:rsidRDefault="006373D4" w:rsidP="009C0658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54CDDCC8" w14:textId="0F6B3BDC" w:rsidR="009C0658" w:rsidRPr="00C0644A" w:rsidRDefault="009C0658" w:rsidP="009C0658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 w:rsidRPr="00C0644A">
              <w:rPr>
                <w:rFonts w:ascii="Arial" w:hAnsi="Arial" w:cs="Arial"/>
                <w:szCs w:val="20"/>
                <w:lang w:bidi="hi-IN"/>
              </w:rPr>
              <w:t>Pre potreby DPRPS bolo stanovených päť scenárov (A až E), ktoré vymedzujú predpokladaný vývoj zaťaženia a zdrojového mixu ES SR. Scenár ENTSO-E (F) slúži výhradne na porovnanie s výsledkami rozvojových scenárov A až E</w:t>
            </w:r>
            <w:r w:rsidR="00262299" w:rsidRPr="00C0644A">
              <w:rPr>
                <w:rFonts w:ascii="Arial" w:hAnsi="Arial" w:cs="Arial"/>
                <w:szCs w:val="20"/>
                <w:lang w:bidi="hi-IN"/>
              </w:rPr>
              <w:t xml:space="preserve">, preto nepovažujeme za potrebné uvádzať vstupné hypotézy tohto scenára. </w:t>
            </w:r>
            <w:r w:rsidRPr="00C0644A">
              <w:rPr>
                <w:rFonts w:ascii="Arial" w:hAnsi="Arial" w:cs="Arial"/>
                <w:szCs w:val="20"/>
                <w:lang w:bidi="hi-IN"/>
              </w:rPr>
              <w:t>Scenár bol vybraný výhradne kvôli vyššej pripojenej kapacite OZE</w:t>
            </w:r>
            <w:r w:rsidR="00993500" w:rsidRPr="00C0644A">
              <w:rPr>
                <w:rFonts w:ascii="Arial" w:hAnsi="Arial" w:cs="Arial"/>
                <w:szCs w:val="20"/>
                <w:lang w:bidi="hi-IN"/>
              </w:rPr>
              <w:t xml:space="preserve"> ako v scenári </w:t>
            </w:r>
            <w:proofErr w:type="spellStart"/>
            <w:r w:rsidR="00993500" w:rsidRPr="00C0644A">
              <w:rPr>
                <w:rFonts w:ascii="Arial" w:hAnsi="Arial" w:cs="Arial"/>
                <w:szCs w:val="20"/>
                <w:lang w:bidi="hi-IN"/>
              </w:rPr>
              <w:t>Global</w:t>
            </w:r>
            <w:proofErr w:type="spellEnd"/>
            <w:r w:rsidR="00993500" w:rsidRPr="00C0644A">
              <w:rPr>
                <w:rFonts w:ascii="Arial" w:hAnsi="Arial" w:cs="Arial"/>
                <w:szCs w:val="20"/>
                <w:lang w:bidi="hi-IN"/>
              </w:rPr>
              <w:t xml:space="preserve"> </w:t>
            </w:r>
            <w:proofErr w:type="spellStart"/>
            <w:r w:rsidR="00993500" w:rsidRPr="00C0644A">
              <w:rPr>
                <w:rFonts w:ascii="Arial" w:hAnsi="Arial" w:cs="Arial"/>
                <w:szCs w:val="20"/>
                <w:lang w:bidi="hi-IN"/>
              </w:rPr>
              <w:t>Ambition</w:t>
            </w:r>
            <w:proofErr w:type="spellEnd"/>
            <w:r w:rsidRPr="00C0644A">
              <w:rPr>
                <w:rFonts w:ascii="Arial" w:hAnsi="Arial" w:cs="Arial"/>
                <w:szCs w:val="20"/>
                <w:lang w:bidi="hi-IN"/>
              </w:rPr>
              <w:t xml:space="preserve">. Tiež sa porovnávali iba výsledky pre časový horizont 2030, ktoré sú veľmi blízke výsledkom scenára </w:t>
            </w:r>
            <w:proofErr w:type="spellStart"/>
            <w:r w:rsidRPr="00C0644A">
              <w:rPr>
                <w:rFonts w:ascii="Arial" w:hAnsi="Arial" w:cs="Arial"/>
                <w:szCs w:val="20"/>
                <w:lang w:bidi="hi-IN"/>
              </w:rPr>
              <w:t>Global</w:t>
            </w:r>
            <w:proofErr w:type="spellEnd"/>
            <w:r w:rsidRPr="00C0644A">
              <w:rPr>
                <w:rFonts w:ascii="Arial" w:hAnsi="Arial" w:cs="Arial"/>
                <w:szCs w:val="20"/>
                <w:lang w:bidi="hi-IN"/>
              </w:rPr>
              <w:t xml:space="preserve"> </w:t>
            </w:r>
            <w:proofErr w:type="spellStart"/>
            <w:r w:rsidRPr="00C0644A">
              <w:rPr>
                <w:rFonts w:ascii="Arial" w:hAnsi="Arial" w:cs="Arial"/>
                <w:szCs w:val="20"/>
                <w:lang w:bidi="hi-IN"/>
              </w:rPr>
              <w:t>Ambition</w:t>
            </w:r>
            <w:proofErr w:type="spellEnd"/>
            <w:r w:rsidRPr="00C0644A">
              <w:rPr>
                <w:rFonts w:ascii="Arial" w:hAnsi="Arial" w:cs="Arial"/>
                <w:szCs w:val="20"/>
                <w:lang w:bidi="hi-IN"/>
              </w:rPr>
              <w:t xml:space="preserve">. </w:t>
            </w:r>
            <w:r w:rsidR="00C567A4" w:rsidRPr="00C0644A">
              <w:rPr>
                <w:rFonts w:ascii="Arial" w:hAnsi="Arial" w:cs="Arial"/>
                <w:szCs w:val="20"/>
                <w:lang w:bidi="hi-IN"/>
              </w:rPr>
              <w:t>Inštalovaná kapacita</w:t>
            </w:r>
            <w:r w:rsidRPr="00C0644A">
              <w:rPr>
                <w:rFonts w:ascii="Arial" w:hAnsi="Arial" w:cs="Arial"/>
                <w:szCs w:val="20"/>
                <w:lang w:bidi="hi-IN"/>
              </w:rPr>
              <w:t xml:space="preserve"> jadr</w:t>
            </w:r>
            <w:r w:rsidR="00C43CB2" w:rsidRPr="00C0644A">
              <w:rPr>
                <w:rFonts w:ascii="Arial" w:hAnsi="Arial" w:cs="Arial"/>
                <w:szCs w:val="20"/>
                <w:lang w:bidi="hi-IN"/>
              </w:rPr>
              <w:t xml:space="preserve">ových </w:t>
            </w:r>
            <w:proofErr w:type="spellStart"/>
            <w:r w:rsidR="00C43CB2" w:rsidRPr="00C0644A">
              <w:rPr>
                <w:rFonts w:ascii="Arial" w:hAnsi="Arial" w:cs="Arial"/>
                <w:szCs w:val="20"/>
                <w:lang w:bidi="hi-IN"/>
              </w:rPr>
              <w:t>elektární</w:t>
            </w:r>
            <w:proofErr w:type="spellEnd"/>
            <w:r w:rsidRPr="00C0644A">
              <w:rPr>
                <w:rFonts w:ascii="Arial" w:hAnsi="Arial" w:cs="Arial"/>
                <w:szCs w:val="20"/>
                <w:lang w:bidi="hi-IN"/>
              </w:rPr>
              <w:t xml:space="preserve"> v sledovanom časovom horizonte </w:t>
            </w:r>
            <w:r w:rsidR="00C43CB2" w:rsidRPr="00C0644A">
              <w:rPr>
                <w:rFonts w:ascii="Arial" w:hAnsi="Arial" w:cs="Arial"/>
                <w:szCs w:val="20"/>
                <w:lang w:bidi="hi-IN"/>
              </w:rPr>
              <w:t xml:space="preserve">korešponduje </w:t>
            </w:r>
            <w:r w:rsidRPr="00C0644A">
              <w:rPr>
                <w:rFonts w:ascii="Arial" w:hAnsi="Arial" w:cs="Arial"/>
                <w:szCs w:val="20"/>
                <w:lang w:bidi="hi-IN"/>
              </w:rPr>
              <w:t>s</w:t>
            </w:r>
            <w:r w:rsidR="00C43CB2" w:rsidRPr="00C0644A">
              <w:rPr>
                <w:rFonts w:ascii="Arial" w:hAnsi="Arial" w:cs="Arial"/>
                <w:szCs w:val="20"/>
                <w:lang w:bidi="hi-IN"/>
              </w:rPr>
              <w:t> </w:t>
            </w:r>
            <w:r w:rsidRPr="00C0644A">
              <w:rPr>
                <w:rFonts w:ascii="Arial" w:hAnsi="Arial" w:cs="Arial"/>
                <w:szCs w:val="20"/>
                <w:lang w:bidi="hi-IN"/>
              </w:rPr>
              <w:t>kapacitou v</w:t>
            </w:r>
            <w:r w:rsidR="00C43CB2" w:rsidRPr="00C0644A">
              <w:rPr>
                <w:rFonts w:ascii="Arial" w:hAnsi="Arial" w:cs="Arial"/>
                <w:szCs w:val="20"/>
                <w:lang w:bidi="hi-IN"/>
              </w:rPr>
              <w:t> </w:t>
            </w:r>
            <w:r w:rsidRPr="00C0644A">
              <w:rPr>
                <w:rFonts w:ascii="Arial" w:hAnsi="Arial" w:cs="Arial"/>
                <w:szCs w:val="20"/>
                <w:lang w:bidi="hi-IN"/>
              </w:rPr>
              <w:t xml:space="preserve">scenári </w:t>
            </w:r>
            <w:proofErr w:type="spellStart"/>
            <w:r w:rsidRPr="00C0644A">
              <w:rPr>
                <w:rFonts w:ascii="Arial" w:hAnsi="Arial" w:cs="Arial"/>
                <w:szCs w:val="20"/>
                <w:lang w:bidi="hi-IN"/>
              </w:rPr>
              <w:t>Global</w:t>
            </w:r>
            <w:proofErr w:type="spellEnd"/>
            <w:r w:rsidRPr="00C0644A">
              <w:rPr>
                <w:rFonts w:ascii="Arial" w:hAnsi="Arial" w:cs="Arial"/>
                <w:szCs w:val="20"/>
                <w:lang w:bidi="hi-IN"/>
              </w:rPr>
              <w:t xml:space="preserve"> </w:t>
            </w:r>
            <w:proofErr w:type="spellStart"/>
            <w:r w:rsidRPr="00C0644A">
              <w:rPr>
                <w:rFonts w:ascii="Arial" w:hAnsi="Arial" w:cs="Arial"/>
                <w:szCs w:val="20"/>
                <w:lang w:bidi="hi-IN"/>
              </w:rPr>
              <w:t>Ambition</w:t>
            </w:r>
            <w:proofErr w:type="spellEnd"/>
            <w:r w:rsidRPr="00C0644A">
              <w:rPr>
                <w:rFonts w:ascii="Arial" w:hAnsi="Arial" w:cs="Arial"/>
                <w:szCs w:val="20"/>
                <w:lang w:bidi="hi-IN"/>
              </w:rPr>
              <w:t>.</w:t>
            </w:r>
          </w:p>
          <w:p w14:paraId="6E202023" w14:textId="77777777" w:rsidR="00C43CB2" w:rsidRPr="00C0644A" w:rsidRDefault="00C43CB2" w:rsidP="009C0658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454EAE17" w14:textId="3CFDB01B" w:rsidR="00993500" w:rsidRPr="00C0644A" w:rsidRDefault="009C0658" w:rsidP="009C0658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 w:rsidRPr="00C0644A">
              <w:rPr>
                <w:rFonts w:ascii="Arial" w:hAnsi="Arial" w:cs="Arial"/>
                <w:szCs w:val="20"/>
                <w:lang w:bidi="hi-IN"/>
              </w:rPr>
              <w:t>Ako bolo spomenuté</w:t>
            </w:r>
            <w:r w:rsidR="00C43CB2" w:rsidRPr="00C0644A">
              <w:rPr>
                <w:rFonts w:ascii="Arial" w:hAnsi="Arial" w:cs="Arial"/>
                <w:szCs w:val="20"/>
                <w:lang w:bidi="hi-IN"/>
              </w:rPr>
              <w:t xml:space="preserve"> vyššie</w:t>
            </w:r>
            <w:r w:rsidRPr="00C0644A">
              <w:rPr>
                <w:rFonts w:ascii="Arial" w:hAnsi="Arial" w:cs="Arial"/>
                <w:szCs w:val="20"/>
                <w:lang w:bidi="hi-IN"/>
              </w:rPr>
              <w:t>, scenár nie je preverovaný v</w:t>
            </w:r>
            <w:r w:rsidR="00C43CB2" w:rsidRPr="00C0644A">
              <w:rPr>
                <w:rFonts w:ascii="Arial" w:hAnsi="Arial" w:cs="Arial"/>
                <w:szCs w:val="20"/>
                <w:lang w:bidi="hi-IN"/>
              </w:rPr>
              <w:t> </w:t>
            </w:r>
            <w:r w:rsidRPr="00C0644A">
              <w:rPr>
                <w:rFonts w:ascii="Arial" w:hAnsi="Arial" w:cs="Arial"/>
                <w:szCs w:val="20"/>
                <w:lang w:bidi="hi-IN"/>
              </w:rPr>
              <w:t>DPRPS</w:t>
            </w:r>
            <w:r w:rsidR="00C43CB2" w:rsidRPr="00C0644A">
              <w:rPr>
                <w:rFonts w:ascii="Arial" w:hAnsi="Arial" w:cs="Arial"/>
                <w:szCs w:val="20"/>
                <w:lang w:bidi="hi-IN"/>
              </w:rPr>
              <w:t>,</w:t>
            </w:r>
            <w:r w:rsidRPr="00C0644A">
              <w:rPr>
                <w:rFonts w:ascii="Arial" w:hAnsi="Arial" w:cs="Arial"/>
                <w:szCs w:val="20"/>
                <w:lang w:bidi="hi-IN"/>
              </w:rPr>
              <w:t xml:space="preserve"> a preto nie je ani cieľom hodnotiť či je, alebo nie je realizovateľný v podmienkach SR.</w:t>
            </w:r>
          </w:p>
          <w:p w14:paraId="2BD2A8E0" w14:textId="77777777" w:rsidR="00993500" w:rsidRPr="00C0644A" w:rsidRDefault="00993500" w:rsidP="009C0658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6968BA13" w14:textId="1EFBAB26" w:rsidR="00AE7452" w:rsidRPr="00C0644A" w:rsidRDefault="002A392F" w:rsidP="009C0658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 w:rsidRPr="00C0644A">
              <w:rPr>
                <w:rFonts w:ascii="Arial" w:hAnsi="Arial" w:cs="Arial"/>
                <w:szCs w:val="20"/>
                <w:lang w:bidi="hi-IN"/>
              </w:rPr>
              <w:t>Do DPRPS 2033 b</w:t>
            </w:r>
            <w:r w:rsidR="00993500" w:rsidRPr="00C0644A">
              <w:rPr>
                <w:rFonts w:ascii="Arial" w:hAnsi="Arial" w:cs="Arial"/>
                <w:szCs w:val="20"/>
                <w:lang w:bidi="hi-IN"/>
              </w:rPr>
              <w:t xml:space="preserve">ol </w:t>
            </w:r>
            <w:r w:rsidR="00993500" w:rsidRPr="00C0644A">
              <w:rPr>
                <w:rFonts w:ascii="Arial" w:hAnsi="Arial" w:cs="Arial"/>
                <w:szCs w:val="20"/>
              </w:rPr>
              <w:t>pridaný odkaz na stránku TYNDP 2022</w:t>
            </w:r>
            <w:r w:rsidRPr="00C0644A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2088" w:type="dxa"/>
          </w:tcPr>
          <w:p w14:paraId="71B7645C" w14:textId="390EC45F" w:rsidR="00AE7452" w:rsidRPr="007F6EF3" w:rsidRDefault="002A392F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 xml:space="preserve">ČIASTOČNE </w:t>
            </w:r>
          </w:p>
        </w:tc>
      </w:tr>
      <w:tr w:rsidR="00AE7452" w:rsidRPr="007F6EF3" w14:paraId="78A17848" w14:textId="77777777" w:rsidTr="00C75826">
        <w:tc>
          <w:tcPr>
            <w:tcW w:w="938" w:type="dxa"/>
          </w:tcPr>
          <w:p w14:paraId="7DB83D15" w14:textId="1C3DFAA6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5.4</w:t>
            </w:r>
          </w:p>
        </w:tc>
        <w:tc>
          <w:tcPr>
            <w:tcW w:w="2886" w:type="dxa"/>
          </w:tcPr>
          <w:p w14:paraId="0446E05F" w14:textId="77777777" w:rsidR="00AE7452" w:rsidRPr="007F6EF3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Je potrebné pridať limity OZE pre celý horizont DPRPS,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t.j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. </w:t>
            </w:r>
            <w:r w:rsidRPr="007F6EF3">
              <w:rPr>
                <w:i/>
                <w:iCs/>
                <w:sz w:val="20"/>
                <w:szCs w:val="20"/>
              </w:rPr>
              <w:lastRenderedPageBreak/>
              <w:t xml:space="preserve">do roku 2033 ako aj kvantifikovať potreby flexibility (dennej, týždennej, sezónnej) a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PpS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ktoré sú potrebné každý rok pre vyregulovanie systémovej odchýlky (ACE), spôsobenej rozdielom medzi predpokladanou a skutočnou výrobou okrem iného aj zdrojov s vysokou fluktuáciou výroby elektriny </w:t>
            </w:r>
          </w:p>
          <w:p w14:paraId="200C404C" w14:textId="77777777" w:rsidR="00AE7452" w:rsidRPr="007F6EF3" w:rsidRDefault="00AE7452" w:rsidP="00265B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bidi="hi-IN"/>
              </w:rPr>
            </w:pPr>
          </w:p>
        </w:tc>
        <w:tc>
          <w:tcPr>
            <w:tcW w:w="2974" w:type="dxa"/>
          </w:tcPr>
          <w:p w14:paraId="6FF9E6F6" w14:textId="66546A92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lastRenderedPageBreak/>
              <w:t xml:space="preserve">Bez týchto informácii zo strany SEPS nie je možné jednak </w:t>
            </w:r>
            <w:r w:rsidRPr="007F6EF3">
              <w:rPr>
                <w:sz w:val="20"/>
                <w:szCs w:val="20"/>
              </w:rPr>
              <w:lastRenderedPageBreak/>
              <w:t xml:space="preserve">splniť </w:t>
            </w:r>
            <w:r w:rsidR="00F23524" w:rsidRPr="007F6EF3">
              <w:rPr>
                <w:sz w:val="20"/>
                <w:szCs w:val="20"/>
              </w:rPr>
              <w:t>ciele</w:t>
            </w:r>
            <w:r w:rsidRPr="007F6EF3">
              <w:rPr>
                <w:sz w:val="20"/>
                <w:szCs w:val="20"/>
              </w:rPr>
              <w:t xml:space="preserve"> OZE stanovené v Fit </w:t>
            </w:r>
            <w:proofErr w:type="spellStart"/>
            <w:r w:rsidRPr="007F6EF3">
              <w:rPr>
                <w:sz w:val="20"/>
                <w:szCs w:val="20"/>
              </w:rPr>
              <w:t>for</w:t>
            </w:r>
            <w:proofErr w:type="spellEnd"/>
            <w:r w:rsidRPr="007F6EF3">
              <w:rPr>
                <w:sz w:val="20"/>
                <w:szCs w:val="20"/>
              </w:rPr>
              <w:t xml:space="preserve"> 55 a </w:t>
            </w:r>
            <w:proofErr w:type="spellStart"/>
            <w:r w:rsidRPr="007F6EF3">
              <w:rPr>
                <w:sz w:val="20"/>
                <w:szCs w:val="20"/>
              </w:rPr>
              <w:t>Repower</w:t>
            </w:r>
            <w:proofErr w:type="spellEnd"/>
            <w:r w:rsidRPr="007F6EF3">
              <w:rPr>
                <w:sz w:val="20"/>
                <w:szCs w:val="20"/>
              </w:rPr>
              <w:t xml:space="preserve"> EU a zároveň to nedáva jasnú informáciu pre investorov do potrebných zdrojov flexibility. Zároveň je potrebné splniť odporúčania zo strany Európskej komisie ako napríklad: </w:t>
            </w:r>
          </w:p>
          <w:p w14:paraId="611E5A42" w14:textId="77777777" w:rsidR="00AE7452" w:rsidRPr="007F6EF3" w:rsidRDefault="00AE7452" w:rsidP="00265BDF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t xml:space="preserve">A. Hodnotenie Slovenského </w:t>
            </w:r>
            <w:proofErr w:type="spellStart"/>
            <w:r w:rsidRPr="007F6EF3">
              <w:rPr>
                <w:sz w:val="20"/>
                <w:szCs w:val="20"/>
              </w:rPr>
              <w:t>INECPu</w:t>
            </w:r>
            <w:proofErr w:type="spellEnd"/>
            <w:r w:rsidRPr="007F6EF3">
              <w:rPr>
                <w:sz w:val="20"/>
                <w:szCs w:val="20"/>
              </w:rPr>
              <w:t xml:space="preserve"> z Európskej komisie zo 14.10. 2020: </w:t>
            </w:r>
          </w:p>
          <w:p w14:paraId="64798F95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</w:p>
          <w:p w14:paraId="26863FC4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Slovakia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also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received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recommendation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to set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clear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objectives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milestones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timelines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related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sources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of flexibility.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Such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recommendation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was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partially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addressed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749069E" w14:textId="77777777" w:rsidR="00AE7452" w:rsidRPr="007F6EF3" w:rsidRDefault="00AE7452" w:rsidP="00265BDF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t xml:space="preserve">B. </w:t>
            </w:r>
            <w:proofErr w:type="spellStart"/>
            <w:r w:rsidRPr="007F6EF3">
              <w:rPr>
                <w:sz w:val="20"/>
                <w:szCs w:val="20"/>
              </w:rPr>
              <w:t>Policy</w:t>
            </w:r>
            <w:proofErr w:type="spellEnd"/>
            <w:r w:rsidRPr="007F6EF3">
              <w:rPr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sz w:val="20"/>
                <w:szCs w:val="20"/>
              </w:rPr>
              <w:t>recommendations</w:t>
            </w:r>
            <w:proofErr w:type="spellEnd"/>
            <w:r w:rsidRPr="007F6EF3">
              <w:rPr>
                <w:sz w:val="20"/>
                <w:szCs w:val="20"/>
              </w:rPr>
              <w:t xml:space="preserve"> zo „Study on </w:t>
            </w:r>
            <w:proofErr w:type="spellStart"/>
            <w:r w:rsidRPr="007F6EF3">
              <w:rPr>
                <w:sz w:val="20"/>
                <w:szCs w:val="20"/>
              </w:rPr>
              <w:t>energy</w:t>
            </w:r>
            <w:proofErr w:type="spellEnd"/>
            <w:r w:rsidRPr="007F6EF3">
              <w:rPr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sz w:val="20"/>
                <w:szCs w:val="20"/>
              </w:rPr>
              <w:t>storage</w:t>
            </w:r>
            <w:proofErr w:type="spellEnd"/>
            <w:r w:rsidRPr="007F6EF3">
              <w:rPr>
                <w:sz w:val="20"/>
                <w:szCs w:val="20"/>
              </w:rPr>
              <w:t xml:space="preserve">“ od Európskej komisie: </w:t>
            </w:r>
          </w:p>
          <w:p w14:paraId="178F88A8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</w:p>
          <w:p w14:paraId="787A63C7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t xml:space="preserve">1.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National Energy and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Climate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Plans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are a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central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instrument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for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Member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States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provide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transparency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visibility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market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actors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regarding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objectives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for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increasing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flexibility of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national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energy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system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A52C5D4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2.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NECPs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should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provide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further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details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lastRenderedPageBreak/>
              <w:t>deployment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pathways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for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each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storage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technology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as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well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as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forecasted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measures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order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allow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market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actors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deploy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identified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storage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capacity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needed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47C054C" w14:textId="0D3FF127" w:rsidR="00AE7452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3.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Require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network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operators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weigh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network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investments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against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the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procurement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of flexibility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resources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by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market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actors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e.g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. in National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Development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Plans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69131066" w14:textId="77777777" w:rsidR="006A0932" w:rsidRPr="007F6EF3" w:rsidRDefault="006A0932" w:rsidP="00265BDF">
            <w:pPr>
              <w:pStyle w:val="Default"/>
              <w:rPr>
                <w:sz w:val="20"/>
                <w:szCs w:val="20"/>
              </w:rPr>
            </w:pPr>
          </w:p>
          <w:p w14:paraId="660D2DB5" w14:textId="77777777" w:rsidR="00AE7452" w:rsidRDefault="00AE745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7F6EF3">
              <w:rPr>
                <w:rFonts w:ascii="Arial" w:hAnsi="Arial" w:cs="Arial"/>
                <w:szCs w:val="20"/>
              </w:rPr>
              <w:t xml:space="preserve">Bolo by vhodné aby sa tieto informácie objavili primárne v DPRPS aby ich následne mohol prebrať národný INEKP. Nie je totiž žiadúce aby sa vytvoril proces hodnotenia flexibility ktorý by bol paralelný k DPRPS a vychádzal z iných hypotéz dát a prípadne iných nástrojov. </w:t>
            </w:r>
          </w:p>
          <w:p w14:paraId="110B6C38" w14:textId="386A6E10" w:rsidR="00F23524" w:rsidRPr="007F6EF3" w:rsidRDefault="00F23524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4825" w:type="dxa"/>
          </w:tcPr>
          <w:p w14:paraId="248D1B41" w14:textId="77777777" w:rsidR="0024785F" w:rsidRDefault="0024785F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lastRenderedPageBreak/>
              <w:t xml:space="preserve">Vzhľadom na skutočnosť, že v súčasnosti prebieha spracovávanie externých štúdií „Štúdia vplyvu OZE </w:t>
            </w:r>
            <w:r>
              <w:rPr>
                <w:rFonts w:ascii="Arial" w:hAnsi="Arial" w:cs="Arial"/>
                <w:szCs w:val="20"/>
                <w:lang w:bidi="hi-IN"/>
              </w:rPr>
              <w:lastRenderedPageBreak/>
              <w:t xml:space="preserve">na riadenie ES SR“ pre stanovenie limitov OZE z pohľadu flexibility, ako aj sieťových pomerov, bude informácia k limitom OZE s ohľadom na veľkosť </w:t>
            </w:r>
            <w:proofErr w:type="spellStart"/>
            <w:r>
              <w:rPr>
                <w:rFonts w:ascii="Arial" w:hAnsi="Arial" w:cs="Arial"/>
                <w:szCs w:val="20"/>
                <w:lang w:bidi="hi-IN"/>
              </w:rPr>
              <w:t>PpS</w:t>
            </w:r>
            <w:proofErr w:type="spellEnd"/>
            <w:r>
              <w:rPr>
                <w:rFonts w:ascii="Arial" w:hAnsi="Arial" w:cs="Arial"/>
                <w:szCs w:val="20"/>
                <w:lang w:bidi="hi-IN"/>
              </w:rPr>
              <w:t xml:space="preserve"> pre relevantné časové obdobie  súčasťou až ďalšieho vydania DPRPS. </w:t>
            </w:r>
          </w:p>
          <w:p w14:paraId="509BCBA4" w14:textId="77777777" w:rsidR="0024785F" w:rsidRDefault="0024785F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1888DD12" w14:textId="0F388269" w:rsidR="0024785F" w:rsidRDefault="0024785F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Limity OZE (t. j. voľné kapacity OZE na webovej platforme) podľa pravidiel zadefinovaných v TP, dokument S (S4) sú každoročne zverejňované k 30.6 príslušného roka na webovej platforme SEPS. </w:t>
            </w:r>
          </w:p>
          <w:p w14:paraId="6C6D66D8" w14:textId="77777777" w:rsidR="0024785F" w:rsidRDefault="0024785F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7E435431" w14:textId="4254AC06" w:rsidR="00850F44" w:rsidRPr="007F6EF3" w:rsidRDefault="00850F44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>SEPS pri objemoch OZE na účel analýz pre DPRPS vychádza zo schváleného NECP SR</w:t>
            </w:r>
            <w:r w:rsidR="006A0932">
              <w:rPr>
                <w:rFonts w:ascii="Arial" w:hAnsi="Arial" w:cs="Arial"/>
                <w:szCs w:val="20"/>
                <w:lang w:bidi="hi-IN"/>
              </w:rPr>
              <w:t>, nakoľko práve NECP SR</w:t>
            </w:r>
            <w:r w:rsidR="0024785F">
              <w:rPr>
                <w:rFonts w:ascii="Arial" w:hAnsi="Arial" w:cs="Arial"/>
                <w:szCs w:val="20"/>
                <w:lang w:bidi="hi-IN"/>
              </w:rPr>
              <w:t xml:space="preserve"> (v gescii MH SR) </w:t>
            </w:r>
            <w:r w:rsidR="006A0932">
              <w:rPr>
                <w:rFonts w:ascii="Arial" w:hAnsi="Arial" w:cs="Arial"/>
                <w:szCs w:val="20"/>
                <w:lang w:bidi="hi-IN"/>
              </w:rPr>
              <w:t>je určujúcim dokumentom.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 </w:t>
            </w:r>
          </w:p>
        </w:tc>
        <w:tc>
          <w:tcPr>
            <w:tcW w:w="2088" w:type="dxa"/>
          </w:tcPr>
          <w:p w14:paraId="7801D050" w14:textId="382D2E3C" w:rsidR="00AE7452" w:rsidRPr="007F6EF3" w:rsidRDefault="00850F44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lastRenderedPageBreak/>
              <w:t>NIE</w:t>
            </w:r>
          </w:p>
        </w:tc>
      </w:tr>
      <w:tr w:rsidR="00AE7452" w:rsidRPr="007F6EF3" w14:paraId="04681E90" w14:textId="77777777" w:rsidTr="00C75826">
        <w:tc>
          <w:tcPr>
            <w:tcW w:w="938" w:type="dxa"/>
          </w:tcPr>
          <w:p w14:paraId="5796D6D8" w14:textId="2A7A87C9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lastRenderedPageBreak/>
              <w:t>Kap. 5.3.2</w:t>
            </w:r>
          </w:p>
        </w:tc>
        <w:tc>
          <w:tcPr>
            <w:tcW w:w="2886" w:type="dxa"/>
          </w:tcPr>
          <w:p w14:paraId="1C5C875B" w14:textId="63902232" w:rsidR="00AE7452" w:rsidRPr="00C0644A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0644A">
              <w:rPr>
                <w:i/>
                <w:iCs/>
                <w:sz w:val="20"/>
                <w:szCs w:val="20"/>
              </w:rPr>
              <w:t xml:space="preserve">Zmeniť pre FCR </w:t>
            </w:r>
          </w:p>
          <w:p w14:paraId="2B7CD452" w14:textId="77777777" w:rsidR="007F6EF3" w:rsidRPr="00C0644A" w:rsidRDefault="007F6EF3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4C17BE9" w14:textId="77777777" w:rsidR="00AE7452" w:rsidRPr="00C0644A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0644A">
              <w:rPr>
                <w:i/>
                <w:iCs/>
                <w:sz w:val="20"/>
                <w:szCs w:val="20"/>
              </w:rPr>
              <w:t xml:space="preserve">„ o Rozšírenie ponúkaných objemov v podobe pripájania ďalších batériových systémov zo strany prevádzkovateľov týchto zariadení (alebo iných LER systémov) do sústavy.“ </w:t>
            </w:r>
          </w:p>
          <w:p w14:paraId="52B374B6" w14:textId="77777777" w:rsidR="00F23524" w:rsidRPr="00C0644A" w:rsidRDefault="00F23524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67AEDFBB" w14:textId="77777777" w:rsidR="00F23524" w:rsidRPr="00C0644A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0644A">
              <w:rPr>
                <w:i/>
                <w:iCs/>
                <w:sz w:val="20"/>
                <w:szCs w:val="20"/>
              </w:rPr>
              <w:t>na</w:t>
            </w:r>
          </w:p>
          <w:p w14:paraId="2DBB68EC" w14:textId="49915677" w:rsidR="00AE7452" w:rsidRPr="00C0644A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0644A">
              <w:rPr>
                <w:i/>
                <w:iCs/>
                <w:sz w:val="20"/>
                <w:szCs w:val="20"/>
              </w:rPr>
              <w:lastRenderedPageBreak/>
              <w:t xml:space="preserve"> </w:t>
            </w:r>
          </w:p>
          <w:p w14:paraId="09B4DFF5" w14:textId="77777777" w:rsidR="00AE7452" w:rsidRPr="00C0644A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0644A">
              <w:rPr>
                <w:i/>
                <w:iCs/>
                <w:sz w:val="20"/>
                <w:szCs w:val="20"/>
              </w:rPr>
              <w:t xml:space="preserve">„ o Rozšírenie ponúkaných objemov v podobe </w:t>
            </w:r>
            <w:r w:rsidRPr="00C0644A">
              <w:rPr>
                <w:b/>
                <w:bCs/>
                <w:i/>
                <w:iCs/>
                <w:sz w:val="20"/>
                <w:szCs w:val="20"/>
              </w:rPr>
              <w:t xml:space="preserve">modernizácie existujúcich zdrojov ako sú vodné </w:t>
            </w:r>
            <w:proofErr w:type="spellStart"/>
            <w:r w:rsidRPr="00C0644A">
              <w:rPr>
                <w:b/>
                <w:bCs/>
                <w:i/>
                <w:iCs/>
                <w:sz w:val="20"/>
                <w:szCs w:val="20"/>
              </w:rPr>
              <w:t>elekrárne</w:t>
            </w:r>
            <w:proofErr w:type="spellEnd"/>
            <w:r w:rsidRPr="00C0644A">
              <w:rPr>
                <w:b/>
                <w:bCs/>
                <w:i/>
                <w:iCs/>
                <w:sz w:val="20"/>
                <w:szCs w:val="20"/>
              </w:rPr>
              <w:t xml:space="preserve"> a PVE </w:t>
            </w:r>
            <w:r w:rsidRPr="00C0644A">
              <w:rPr>
                <w:i/>
                <w:iCs/>
                <w:sz w:val="20"/>
                <w:szCs w:val="20"/>
              </w:rPr>
              <w:t xml:space="preserve">a pripájania ďalších batériových systémov zo strany prevádzkovateľov týchto zariadení (alebo iných LER systémov) do sústavy.“ </w:t>
            </w:r>
          </w:p>
          <w:p w14:paraId="5329F706" w14:textId="77777777" w:rsidR="00F23524" w:rsidRPr="00C0644A" w:rsidRDefault="00F23524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7B0072A5" w14:textId="0BF67D6B" w:rsidR="00AE7452" w:rsidRPr="00C0644A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0644A">
              <w:rPr>
                <w:i/>
                <w:iCs/>
                <w:sz w:val="20"/>
                <w:szCs w:val="20"/>
              </w:rPr>
              <w:t xml:space="preserve">Zmeniť pre </w:t>
            </w:r>
            <w:proofErr w:type="spellStart"/>
            <w:r w:rsidRPr="00C0644A">
              <w:rPr>
                <w:i/>
                <w:iCs/>
                <w:sz w:val="20"/>
                <w:szCs w:val="20"/>
              </w:rPr>
              <w:t>aFRR</w:t>
            </w:r>
            <w:proofErr w:type="spellEnd"/>
            <w:r w:rsidRPr="00C0644A">
              <w:rPr>
                <w:i/>
                <w:iCs/>
                <w:sz w:val="20"/>
                <w:szCs w:val="20"/>
              </w:rPr>
              <w:t xml:space="preserve"> </w:t>
            </w:r>
          </w:p>
          <w:p w14:paraId="0A363C5A" w14:textId="77777777" w:rsidR="00F23524" w:rsidRPr="00C0644A" w:rsidRDefault="00F23524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5B3B306E" w14:textId="77777777" w:rsidR="00AE7452" w:rsidRPr="00C0644A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0644A">
              <w:rPr>
                <w:i/>
                <w:iCs/>
                <w:sz w:val="20"/>
                <w:szCs w:val="20"/>
              </w:rPr>
              <w:t xml:space="preserve">“ o Rozšírenie ponúkaných objemov </w:t>
            </w:r>
            <w:proofErr w:type="spellStart"/>
            <w:r w:rsidRPr="00C0644A">
              <w:rPr>
                <w:i/>
                <w:iCs/>
                <w:sz w:val="20"/>
                <w:szCs w:val="20"/>
              </w:rPr>
              <w:t>PpS</w:t>
            </w:r>
            <w:proofErr w:type="spellEnd"/>
            <w:r w:rsidRPr="00C0644A">
              <w:rPr>
                <w:i/>
                <w:iCs/>
                <w:sz w:val="20"/>
                <w:szCs w:val="20"/>
              </w:rPr>
              <w:t xml:space="preserve"> v podobe pripájania ďalších batériových systémov (alebo iných LER systémov) do sústavy.“ </w:t>
            </w:r>
          </w:p>
          <w:p w14:paraId="2CC29130" w14:textId="77777777" w:rsidR="00F23524" w:rsidRPr="00C0644A" w:rsidRDefault="00F23524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08BDDBFC" w14:textId="16946D5C" w:rsidR="00AE7452" w:rsidRPr="00C0644A" w:rsidRDefault="00F23524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0644A">
              <w:rPr>
                <w:i/>
                <w:iCs/>
                <w:sz w:val="20"/>
                <w:szCs w:val="20"/>
              </w:rPr>
              <w:t>n</w:t>
            </w:r>
            <w:r w:rsidR="00AE7452" w:rsidRPr="00C0644A">
              <w:rPr>
                <w:i/>
                <w:iCs/>
                <w:sz w:val="20"/>
                <w:szCs w:val="20"/>
              </w:rPr>
              <w:t xml:space="preserve">a </w:t>
            </w:r>
          </w:p>
          <w:p w14:paraId="6211E1A3" w14:textId="77777777" w:rsidR="00F23524" w:rsidRPr="00C0644A" w:rsidRDefault="00F23524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50BD00B9" w14:textId="1FF42B28" w:rsidR="00AE7452" w:rsidRPr="00C0644A" w:rsidRDefault="00AE7452" w:rsidP="00265B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bidi="hi-IN"/>
              </w:rPr>
            </w:pPr>
            <w:r w:rsidRPr="00C0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“ o Rozšírenie ponúkaných objemov </w:t>
            </w:r>
            <w:proofErr w:type="spellStart"/>
            <w:r w:rsidRPr="00C0644A">
              <w:rPr>
                <w:rFonts w:ascii="Arial" w:hAnsi="Arial" w:cs="Arial"/>
                <w:i/>
                <w:iCs/>
                <w:sz w:val="20"/>
                <w:szCs w:val="20"/>
              </w:rPr>
              <w:t>PpS</w:t>
            </w:r>
            <w:proofErr w:type="spellEnd"/>
            <w:r w:rsidRPr="00C0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 podobe </w:t>
            </w:r>
            <w:r w:rsidRPr="00C06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modernizácie existujúcich zdrojov ako sú vodné </w:t>
            </w:r>
            <w:proofErr w:type="spellStart"/>
            <w:r w:rsidRPr="00C06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elekrárne</w:t>
            </w:r>
            <w:proofErr w:type="spellEnd"/>
            <w:r w:rsidRPr="00C064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a PVE </w:t>
            </w:r>
            <w:r w:rsidRPr="00C0644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pripájania ďalších batériových systémov (alebo iných LER systémov) do sústavy.“ </w:t>
            </w:r>
          </w:p>
        </w:tc>
        <w:tc>
          <w:tcPr>
            <w:tcW w:w="2974" w:type="dxa"/>
          </w:tcPr>
          <w:p w14:paraId="7C1917EC" w14:textId="537FBD1E" w:rsidR="00AE7452" w:rsidRPr="00C0644A" w:rsidRDefault="00AE7452" w:rsidP="00265BDF">
            <w:pPr>
              <w:pStyle w:val="Default"/>
              <w:rPr>
                <w:sz w:val="20"/>
                <w:szCs w:val="20"/>
              </w:rPr>
            </w:pPr>
            <w:r w:rsidRPr="00C0644A">
              <w:rPr>
                <w:sz w:val="20"/>
                <w:szCs w:val="20"/>
              </w:rPr>
              <w:lastRenderedPageBreak/>
              <w:t xml:space="preserve">Znenie by malo byť buď technologicky neutrálne alebo uviesť všetky potenciálne zdroje rozšírenia ponúkaných objemov </w:t>
            </w:r>
            <w:proofErr w:type="spellStart"/>
            <w:r w:rsidRPr="00C0644A">
              <w:rPr>
                <w:sz w:val="20"/>
                <w:szCs w:val="20"/>
              </w:rPr>
              <w:t>PpS</w:t>
            </w:r>
            <w:proofErr w:type="spellEnd"/>
            <w:r w:rsidRPr="00C0644A">
              <w:rPr>
                <w:sz w:val="20"/>
                <w:szCs w:val="20"/>
              </w:rPr>
              <w:t xml:space="preserve">. Nie je vhodné </w:t>
            </w:r>
            <w:r w:rsidR="00F23524" w:rsidRPr="00C0644A">
              <w:rPr>
                <w:sz w:val="20"/>
                <w:szCs w:val="20"/>
              </w:rPr>
              <w:t>uvádzať</w:t>
            </w:r>
            <w:r w:rsidRPr="00C0644A">
              <w:rPr>
                <w:sz w:val="20"/>
                <w:szCs w:val="20"/>
              </w:rPr>
              <w:t xml:space="preserve"> len batériové systémy ako potenciálne riešenie, najmä ak existuje aj možnosť modernizácie vodných </w:t>
            </w:r>
            <w:r w:rsidR="00F23524" w:rsidRPr="00C0644A">
              <w:rPr>
                <w:sz w:val="20"/>
                <w:szCs w:val="20"/>
              </w:rPr>
              <w:t>elektrární</w:t>
            </w:r>
            <w:r w:rsidRPr="00C0644A">
              <w:rPr>
                <w:sz w:val="20"/>
                <w:szCs w:val="20"/>
              </w:rPr>
              <w:t xml:space="preserve"> a PVE s menším </w:t>
            </w:r>
            <w:r w:rsidR="00F23524" w:rsidRPr="00C0644A">
              <w:rPr>
                <w:sz w:val="20"/>
                <w:szCs w:val="20"/>
              </w:rPr>
              <w:lastRenderedPageBreak/>
              <w:t>environmentálnym</w:t>
            </w:r>
            <w:r w:rsidRPr="00C0644A">
              <w:rPr>
                <w:sz w:val="20"/>
                <w:szCs w:val="20"/>
              </w:rPr>
              <w:t xml:space="preserve"> a sociálnym dopadom. </w:t>
            </w:r>
          </w:p>
          <w:p w14:paraId="7DD19464" w14:textId="77777777" w:rsidR="00AE7452" w:rsidRPr="00C0644A" w:rsidRDefault="00AE745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4825" w:type="dxa"/>
          </w:tcPr>
          <w:p w14:paraId="6C36C2B3" w14:textId="77777777" w:rsidR="00AE7452" w:rsidRPr="008154CD" w:rsidRDefault="00AE745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highlight w:val="yellow"/>
                <w:lang w:bidi="hi-IN"/>
              </w:rPr>
            </w:pPr>
          </w:p>
        </w:tc>
        <w:tc>
          <w:tcPr>
            <w:tcW w:w="2088" w:type="dxa"/>
          </w:tcPr>
          <w:p w14:paraId="0BD84F55" w14:textId="46955605" w:rsidR="00AE7452" w:rsidRPr="007F6EF3" w:rsidRDefault="00C869B6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ÁNO</w:t>
            </w:r>
          </w:p>
        </w:tc>
      </w:tr>
      <w:tr w:rsidR="00AE7452" w:rsidRPr="007F6EF3" w14:paraId="017483B9" w14:textId="77777777" w:rsidTr="00C75826">
        <w:tc>
          <w:tcPr>
            <w:tcW w:w="938" w:type="dxa"/>
          </w:tcPr>
          <w:p w14:paraId="53CF623F" w14:textId="3C8B0196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5.3.2</w:t>
            </w:r>
          </w:p>
        </w:tc>
        <w:tc>
          <w:tcPr>
            <w:tcW w:w="2886" w:type="dxa"/>
          </w:tcPr>
          <w:p w14:paraId="4031118B" w14:textId="77777777" w:rsidR="00AE7452" w:rsidRPr="00C0644A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C0644A">
              <w:rPr>
                <w:i/>
                <w:iCs/>
                <w:sz w:val="20"/>
                <w:szCs w:val="20"/>
              </w:rPr>
              <w:t xml:space="preserve">Pridať referenciu na web stránku alebo technickú správu k projektu </w:t>
            </w:r>
            <w:proofErr w:type="spellStart"/>
            <w:r w:rsidRPr="00C0644A">
              <w:rPr>
                <w:i/>
                <w:iCs/>
                <w:sz w:val="20"/>
                <w:szCs w:val="20"/>
              </w:rPr>
              <w:t>Piaf</w:t>
            </w:r>
            <w:proofErr w:type="spellEnd"/>
            <w:r w:rsidRPr="00C0644A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55F8EDDE" w14:textId="77777777" w:rsidR="00AE7452" w:rsidRPr="00C0644A" w:rsidRDefault="00AE7452" w:rsidP="00265B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bidi="hi-IN"/>
              </w:rPr>
            </w:pPr>
          </w:p>
        </w:tc>
        <w:tc>
          <w:tcPr>
            <w:tcW w:w="2974" w:type="dxa"/>
          </w:tcPr>
          <w:p w14:paraId="1EFB9804" w14:textId="3A06E7E1" w:rsidR="00AE7452" w:rsidRPr="00C0644A" w:rsidRDefault="00AE7452" w:rsidP="00265BDF">
            <w:pPr>
              <w:pStyle w:val="Default"/>
              <w:rPr>
                <w:sz w:val="20"/>
                <w:szCs w:val="20"/>
              </w:rPr>
            </w:pPr>
            <w:r w:rsidRPr="00C0644A">
              <w:rPr>
                <w:sz w:val="20"/>
                <w:szCs w:val="20"/>
              </w:rPr>
              <w:t xml:space="preserve">Referencia je potrebná v rámci transparentnosti </w:t>
            </w:r>
            <w:r w:rsidR="007F6EF3" w:rsidRPr="00C0644A">
              <w:rPr>
                <w:sz w:val="20"/>
                <w:szCs w:val="20"/>
              </w:rPr>
              <w:t>navrhovaného</w:t>
            </w:r>
            <w:r w:rsidRPr="00C0644A">
              <w:rPr>
                <w:sz w:val="20"/>
                <w:szCs w:val="20"/>
              </w:rPr>
              <w:t xml:space="preserve"> riešenia. </w:t>
            </w:r>
          </w:p>
          <w:p w14:paraId="49CA3577" w14:textId="77777777" w:rsidR="00AE7452" w:rsidRPr="00C0644A" w:rsidRDefault="00AE745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4825" w:type="dxa"/>
          </w:tcPr>
          <w:p w14:paraId="6D71EB92" w14:textId="77777777" w:rsidR="00AE7452" w:rsidRPr="007F6EF3" w:rsidRDefault="00AE745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8" w:type="dxa"/>
          </w:tcPr>
          <w:p w14:paraId="46673BF8" w14:textId="19D312D5" w:rsidR="00AE7452" w:rsidRPr="007F6EF3" w:rsidRDefault="00C869B6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ÁNO</w:t>
            </w:r>
          </w:p>
        </w:tc>
      </w:tr>
      <w:tr w:rsidR="00AE7452" w:rsidRPr="007F6EF3" w14:paraId="38F486A0" w14:textId="77777777" w:rsidTr="00C75826">
        <w:tc>
          <w:tcPr>
            <w:tcW w:w="938" w:type="dxa"/>
          </w:tcPr>
          <w:p w14:paraId="491C239D" w14:textId="05C20CAE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lastRenderedPageBreak/>
              <w:t>Kap. 6</w:t>
            </w:r>
          </w:p>
        </w:tc>
        <w:tc>
          <w:tcPr>
            <w:tcW w:w="2886" w:type="dxa"/>
          </w:tcPr>
          <w:p w14:paraId="58411F95" w14:textId="77777777" w:rsidR="00AE7452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Je potrebné pridať sekciu “Zásadné rozvojové zámery mimo SEPS“ kde by bol stručný popis zásadných rozvojových projektov v rámci SR ktoré majú vplyv na prenosovú sústavu, ako </w:t>
            </w:r>
            <w:r w:rsidR="007F6EF3" w:rsidRPr="007F6EF3">
              <w:rPr>
                <w:i/>
                <w:iCs/>
                <w:sz w:val="20"/>
                <w:szCs w:val="20"/>
              </w:rPr>
              <w:t>napríklad</w:t>
            </w:r>
            <w:r w:rsidRPr="007F6EF3">
              <w:rPr>
                <w:i/>
                <w:iCs/>
                <w:sz w:val="20"/>
                <w:szCs w:val="20"/>
              </w:rPr>
              <w:t xml:space="preserve"> projekt Integrátor SE alebo projekt EMO34, prípadne viac detailov o konkrétnych batériových projektoch ktoré zdvihne inštalovanú kapacitu batérii na </w:t>
            </w:r>
            <w:r w:rsidR="007F6EF3" w:rsidRPr="007F6EF3">
              <w:rPr>
                <w:i/>
                <w:iCs/>
                <w:sz w:val="20"/>
                <w:szCs w:val="20"/>
              </w:rPr>
              <w:t>Slovensku</w:t>
            </w:r>
            <w:r w:rsidRPr="007F6EF3">
              <w:rPr>
                <w:i/>
                <w:iCs/>
                <w:sz w:val="20"/>
                <w:szCs w:val="20"/>
              </w:rPr>
              <w:t xml:space="preserve"> na stovky MW inštalovanej kapacity do roku 2032 </w:t>
            </w:r>
          </w:p>
          <w:p w14:paraId="578F10FB" w14:textId="229F670D" w:rsidR="00F23524" w:rsidRPr="007F6EF3" w:rsidRDefault="00F23524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74" w:type="dxa"/>
          </w:tcPr>
          <w:p w14:paraId="268B49F2" w14:textId="4CA154C6" w:rsidR="00AE7452" w:rsidRPr="007F6EF3" w:rsidRDefault="00AE7452" w:rsidP="00265BDF">
            <w:pPr>
              <w:pStyle w:val="Default"/>
              <w:rPr>
                <w:sz w:val="13"/>
                <w:szCs w:val="13"/>
              </w:rPr>
            </w:pPr>
            <w:r w:rsidRPr="007F6EF3">
              <w:rPr>
                <w:sz w:val="20"/>
                <w:szCs w:val="20"/>
              </w:rPr>
              <w:t xml:space="preserve">Na elektrizačnú sústavu SR nemajú vplyv iba projekty riadené SEPS, ale aj </w:t>
            </w:r>
            <w:r w:rsidR="007F6EF3" w:rsidRPr="007F6EF3">
              <w:rPr>
                <w:sz w:val="20"/>
                <w:szCs w:val="20"/>
              </w:rPr>
              <w:t>iniciatívy</w:t>
            </w:r>
            <w:r w:rsidRPr="007F6EF3">
              <w:rPr>
                <w:sz w:val="20"/>
                <w:szCs w:val="20"/>
              </w:rPr>
              <w:t xml:space="preserve"> iných aktérov, predovšetkým čo sa týka flexibilných zdrojov zabezpečujúcich stabilitu sústavy. Z tohto dôvodu by bolo vhodné inšpirovať sa DPRPS iných </w:t>
            </w:r>
            <w:r w:rsidR="007F6EF3" w:rsidRPr="007F6EF3">
              <w:rPr>
                <w:sz w:val="20"/>
                <w:szCs w:val="20"/>
              </w:rPr>
              <w:t>krajín</w:t>
            </w:r>
            <w:r w:rsidRPr="007F6EF3">
              <w:rPr>
                <w:sz w:val="20"/>
                <w:szCs w:val="20"/>
              </w:rPr>
              <w:t xml:space="preserve"> a pridať aj základné informácie o plánovaných projektoch s významným vplyvom na prenosovú sústavu. Ako príklad sa dá uviesť rakúsky DPRPS</w:t>
            </w:r>
          </w:p>
        </w:tc>
        <w:tc>
          <w:tcPr>
            <w:tcW w:w="4825" w:type="dxa"/>
          </w:tcPr>
          <w:p w14:paraId="0A330884" w14:textId="3A2917EC" w:rsidR="00E94E15" w:rsidRDefault="00E94E15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Podľa platnej legislatívy nemusí DPRPS takéto informácie obsahovať. </w:t>
            </w:r>
            <w:r w:rsidRPr="00BC5256">
              <w:rPr>
                <w:rFonts w:ascii="Arial" w:hAnsi="Arial" w:cs="Arial"/>
                <w:szCs w:val="20"/>
                <w:lang w:bidi="hi-IN"/>
              </w:rPr>
              <w:t>DPRPS nie je národným strategickým dokumentom, ktorý určuje stratégiu rozvoja sektora energetiky SR.</w:t>
            </w:r>
          </w:p>
          <w:p w14:paraId="67B452B5" w14:textId="77777777" w:rsidR="00265BDF" w:rsidRDefault="00265BDF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164EBBF2" w14:textId="77777777" w:rsidR="00F23986" w:rsidRDefault="00E94E15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>Avšak, v</w:t>
            </w:r>
            <w:r w:rsidR="00265BDF">
              <w:rPr>
                <w:rFonts w:ascii="Arial" w:hAnsi="Arial" w:cs="Arial"/>
                <w:szCs w:val="20"/>
                <w:lang w:bidi="hi-IN"/>
              </w:rPr>
              <w:t xml:space="preserve"> rámci DPRPS sú vždy uvažované 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také </w:t>
            </w:r>
            <w:r w:rsidR="00265BDF">
              <w:rPr>
                <w:rFonts w:ascii="Arial" w:hAnsi="Arial" w:cs="Arial"/>
                <w:szCs w:val="20"/>
                <w:lang w:bidi="hi-IN"/>
              </w:rPr>
              <w:t xml:space="preserve">informácie o projektoch tretích strán, pri ktorých sa </w:t>
            </w:r>
            <w:r>
              <w:rPr>
                <w:rFonts w:ascii="Arial" w:hAnsi="Arial" w:cs="Arial"/>
                <w:szCs w:val="20"/>
                <w:lang w:bidi="hi-IN"/>
              </w:rPr>
              <w:t>predpokladá</w:t>
            </w:r>
            <w:r w:rsidR="00265BDF">
              <w:rPr>
                <w:rFonts w:ascii="Arial" w:hAnsi="Arial" w:cs="Arial"/>
                <w:szCs w:val="20"/>
                <w:lang w:bidi="hi-IN"/>
              </w:rPr>
              <w:t xml:space="preserve"> vplyv na PS</w:t>
            </w:r>
            <w:r>
              <w:rPr>
                <w:rFonts w:ascii="Arial" w:hAnsi="Arial" w:cs="Arial"/>
                <w:szCs w:val="20"/>
                <w:lang w:bidi="hi-IN"/>
              </w:rPr>
              <w:t>, ktorými PPS v čase spracovania DPRPS disponoval</w:t>
            </w:r>
            <w:r w:rsidR="00265BDF">
              <w:rPr>
                <w:rFonts w:ascii="Arial" w:hAnsi="Arial" w:cs="Arial"/>
                <w:szCs w:val="20"/>
                <w:lang w:bidi="hi-IN"/>
              </w:rPr>
              <w:t xml:space="preserve">. </w:t>
            </w:r>
          </w:p>
          <w:p w14:paraId="6BAB6243" w14:textId="77777777" w:rsidR="00F23986" w:rsidRDefault="00F23986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48A09DCF" w14:textId="658CF54C" w:rsidR="00AE7452" w:rsidRPr="007F6EF3" w:rsidRDefault="00F23986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>SEPS nedisponuje informáciami o projektoch tretích strán v takom rozsahu, aby boli v DPRPS popísané navrhovaným spôsobom.</w:t>
            </w:r>
          </w:p>
        </w:tc>
        <w:tc>
          <w:tcPr>
            <w:tcW w:w="2088" w:type="dxa"/>
          </w:tcPr>
          <w:p w14:paraId="54D2E052" w14:textId="7BC54F40" w:rsidR="00AE7452" w:rsidRPr="007F6EF3" w:rsidRDefault="00265BDF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AE7452" w:rsidRPr="007F6EF3" w14:paraId="16CEF14B" w14:textId="77777777" w:rsidTr="00C75826">
        <w:tc>
          <w:tcPr>
            <w:tcW w:w="938" w:type="dxa"/>
          </w:tcPr>
          <w:p w14:paraId="4506808B" w14:textId="4A2747FD" w:rsidR="00AE7452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5.3.1</w:t>
            </w:r>
          </w:p>
        </w:tc>
        <w:tc>
          <w:tcPr>
            <w:tcW w:w="2886" w:type="dxa"/>
          </w:tcPr>
          <w:p w14:paraId="669C1784" w14:textId="4BAA7401" w:rsidR="00AE7452" w:rsidRPr="007F6EF3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Uvádzané potreby FCR,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aFRR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mFRR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a TRV3 pre roky 2027 a 2032 nezohľadňujú potreby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frekvečných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PpS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, najmä </w:t>
            </w:r>
            <w:proofErr w:type="spellStart"/>
            <w:r w:rsidRPr="007F6EF3">
              <w:rPr>
                <w:i/>
                <w:iCs/>
                <w:sz w:val="20"/>
                <w:szCs w:val="20"/>
              </w:rPr>
              <w:t>aFRR</w:t>
            </w:r>
            <w:proofErr w:type="spellEnd"/>
            <w:r w:rsidRPr="007F6EF3">
              <w:rPr>
                <w:i/>
                <w:iCs/>
                <w:sz w:val="20"/>
                <w:szCs w:val="20"/>
              </w:rPr>
              <w:t xml:space="preserve">, ktoré budú potrebné v prípade pripojenia nových veľkých </w:t>
            </w:r>
            <w:r w:rsidR="007F6EF3" w:rsidRPr="007F6EF3">
              <w:rPr>
                <w:i/>
                <w:iCs/>
                <w:sz w:val="20"/>
                <w:szCs w:val="20"/>
              </w:rPr>
              <w:t>odberateľov</w:t>
            </w:r>
            <w:r w:rsidRPr="007F6EF3">
              <w:rPr>
                <w:i/>
                <w:iCs/>
                <w:sz w:val="20"/>
                <w:szCs w:val="20"/>
              </w:rPr>
              <w:t xml:space="preserve">. </w:t>
            </w:r>
          </w:p>
          <w:p w14:paraId="257E1E9A" w14:textId="77777777" w:rsidR="00AE7452" w:rsidRPr="007F6EF3" w:rsidRDefault="00AE7452" w:rsidP="00265B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  <w:lang w:bidi="hi-IN"/>
              </w:rPr>
            </w:pPr>
          </w:p>
        </w:tc>
        <w:tc>
          <w:tcPr>
            <w:tcW w:w="2974" w:type="dxa"/>
          </w:tcPr>
          <w:p w14:paraId="3C0203F3" w14:textId="29C80ABF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t xml:space="preserve">Plánované oblúkové pece v US Steel budú predstavovať veľkú </w:t>
            </w:r>
            <w:r w:rsidR="007F6EF3" w:rsidRPr="007F6EF3">
              <w:rPr>
                <w:sz w:val="20"/>
                <w:szCs w:val="20"/>
              </w:rPr>
              <w:t>záťaž</w:t>
            </w:r>
            <w:r w:rsidRPr="007F6EF3">
              <w:rPr>
                <w:sz w:val="20"/>
                <w:szCs w:val="20"/>
              </w:rPr>
              <w:t xml:space="preserve"> pre elektrizačnú sústavu ktorú je možno riešiť len významným navýšením objemov </w:t>
            </w:r>
            <w:proofErr w:type="spellStart"/>
            <w:r w:rsidRPr="007F6EF3">
              <w:rPr>
                <w:sz w:val="20"/>
                <w:szCs w:val="20"/>
              </w:rPr>
              <w:t>PpS</w:t>
            </w:r>
            <w:proofErr w:type="spellEnd"/>
            <w:r w:rsidRPr="007F6EF3">
              <w:rPr>
                <w:sz w:val="20"/>
                <w:szCs w:val="20"/>
              </w:rPr>
              <w:t xml:space="preserve">, najmä </w:t>
            </w:r>
            <w:proofErr w:type="spellStart"/>
            <w:r w:rsidRPr="007F6EF3">
              <w:rPr>
                <w:sz w:val="20"/>
                <w:szCs w:val="20"/>
              </w:rPr>
              <w:t>aFRR</w:t>
            </w:r>
            <w:proofErr w:type="spellEnd"/>
            <w:r w:rsidRPr="007F6EF3">
              <w:rPr>
                <w:sz w:val="20"/>
                <w:szCs w:val="20"/>
              </w:rPr>
              <w:t xml:space="preserve">. Takéto navýšenie treba plánovať s dostatočným predstihom a malo by byť explicitne uvedené ako potreba v DPRPS. </w:t>
            </w:r>
          </w:p>
          <w:p w14:paraId="7268C612" w14:textId="77777777" w:rsidR="00AE7452" w:rsidRPr="007F6EF3" w:rsidRDefault="00AE7452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4825" w:type="dxa"/>
          </w:tcPr>
          <w:p w14:paraId="479A7B51" w14:textId="655AD3A4" w:rsidR="0045154C" w:rsidRDefault="0045154C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Výpočty </w:t>
            </w:r>
            <w:proofErr w:type="spellStart"/>
            <w:r>
              <w:rPr>
                <w:rFonts w:ascii="Arial" w:hAnsi="Arial" w:cs="Arial"/>
                <w:szCs w:val="20"/>
                <w:lang w:bidi="hi-IN"/>
              </w:rPr>
              <w:t>PpS</w:t>
            </w:r>
            <w:proofErr w:type="spellEnd"/>
            <w:r>
              <w:rPr>
                <w:rFonts w:ascii="Arial" w:hAnsi="Arial" w:cs="Arial"/>
                <w:szCs w:val="20"/>
                <w:lang w:bidi="hi-IN"/>
              </w:rPr>
              <w:t xml:space="preserve"> vychádzajú zo základného scenára A, ktorý nezohľadňuje pripojenie nových veľkých odberateľov z PS.</w:t>
            </w:r>
            <w:r w:rsidR="00F23986">
              <w:rPr>
                <w:rFonts w:ascii="Arial" w:hAnsi="Arial" w:cs="Arial"/>
                <w:szCs w:val="20"/>
                <w:lang w:bidi="hi-IN"/>
              </w:rPr>
              <w:t xml:space="preserve"> Rozšírenie posudzovania scenárov z hľadiska dostupnosti </w:t>
            </w:r>
            <w:proofErr w:type="spellStart"/>
            <w:r w:rsidR="00F23986">
              <w:rPr>
                <w:rFonts w:ascii="Arial" w:hAnsi="Arial" w:cs="Arial"/>
                <w:szCs w:val="20"/>
                <w:lang w:bidi="hi-IN"/>
              </w:rPr>
              <w:t>PpS</w:t>
            </w:r>
            <w:proofErr w:type="spellEnd"/>
            <w:r w:rsidR="00F23986">
              <w:rPr>
                <w:rFonts w:ascii="Arial" w:hAnsi="Arial" w:cs="Arial"/>
                <w:szCs w:val="20"/>
                <w:lang w:bidi="hi-IN"/>
              </w:rPr>
              <w:t xml:space="preserve"> bude zvážené pri nasledujúcich spracovaniach DPRPS.</w:t>
            </w:r>
          </w:p>
          <w:p w14:paraId="338D55F8" w14:textId="77777777" w:rsidR="0045154C" w:rsidRDefault="0045154C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  <w:p w14:paraId="38838F5C" w14:textId="5306AB15" w:rsidR="00AE7452" w:rsidRPr="007F6EF3" w:rsidRDefault="00BC5256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Potreby dodatočných </w:t>
            </w:r>
            <w:proofErr w:type="spellStart"/>
            <w:r>
              <w:rPr>
                <w:rFonts w:ascii="Arial" w:hAnsi="Arial" w:cs="Arial"/>
                <w:szCs w:val="20"/>
                <w:lang w:bidi="hi-IN"/>
              </w:rPr>
              <w:t>PpS</w:t>
            </w:r>
            <w:proofErr w:type="spellEnd"/>
            <w:r>
              <w:rPr>
                <w:rFonts w:ascii="Arial" w:hAnsi="Arial" w:cs="Arial"/>
                <w:szCs w:val="20"/>
                <w:lang w:bidi="hi-IN"/>
              </w:rPr>
              <w:t xml:space="preserve"> pri pripájaní nových užívateľov do PS SR, sú posudzované a indikované v rámci individuálnych štúdií vplyvu budúcich pripájaných zariadení do PS SR. </w:t>
            </w:r>
          </w:p>
        </w:tc>
        <w:tc>
          <w:tcPr>
            <w:tcW w:w="2088" w:type="dxa"/>
          </w:tcPr>
          <w:p w14:paraId="2A1F88C7" w14:textId="598D7990" w:rsidR="00AE7452" w:rsidRPr="007F6EF3" w:rsidRDefault="00BC5256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NIE</w:t>
            </w:r>
          </w:p>
        </w:tc>
      </w:tr>
      <w:tr w:rsidR="00D42098" w:rsidRPr="007F6EF3" w14:paraId="380E2E4C" w14:textId="77777777" w:rsidTr="00C75826">
        <w:tc>
          <w:tcPr>
            <w:tcW w:w="938" w:type="dxa"/>
          </w:tcPr>
          <w:p w14:paraId="45806C84" w14:textId="0B63B5A4" w:rsidR="00D42098" w:rsidRPr="007F6EF3" w:rsidRDefault="00AE7452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6EF3">
              <w:rPr>
                <w:rFonts w:ascii="Arial" w:hAnsi="Arial" w:cs="Arial"/>
                <w:b/>
                <w:sz w:val="20"/>
                <w:szCs w:val="20"/>
              </w:rPr>
              <w:t>Kap. 4.1.1</w:t>
            </w:r>
          </w:p>
        </w:tc>
        <w:tc>
          <w:tcPr>
            <w:tcW w:w="2886" w:type="dxa"/>
          </w:tcPr>
          <w:p w14:paraId="78213640" w14:textId="6857F48A" w:rsidR="00AE7452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V texte </w:t>
            </w:r>
          </w:p>
          <w:p w14:paraId="114D2EF9" w14:textId="77777777" w:rsidR="007F6EF3" w:rsidRPr="007F6EF3" w:rsidRDefault="007F6EF3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</w:p>
          <w:p w14:paraId="2D2B34EE" w14:textId="77777777" w:rsidR="00AE7452" w:rsidRPr="007F6EF3" w:rsidRDefault="00AE7452" w:rsidP="00265BDF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7F6EF3">
              <w:rPr>
                <w:i/>
                <w:iCs/>
                <w:sz w:val="20"/>
                <w:szCs w:val="20"/>
              </w:rPr>
              <w:t xml:space="preserve">„Scenáre B a C pracujú ešte s vyšším nárastom spotreby elektriny, zapríčineným </w:t>
            </w:r>
            <w:r w:rsidRPr="007F6EF3">
              <w:rPr>
                <w:i/>
                <w:iCs/>
                <w:sz w:val="20"/>
                <w:szCs w:val="20"/>
              </w:rPr>
              <w:lastRenderedPageBreak/>
              <w:t xml:space="preserve">výraznou transformáciou energetiky v dôsledku jej dekarbonizácie. Popis scenárov je uvedený v kapitole 4.2. Informácia o spotrebe je uvedená v kapitole 5.1.4.“ </w:t>
            </w:r>
          </w:p>
          <w:p w14:paraId="32C39E75" w14:textId="77777777" w:rsidR="007F6EF3" w:rsidRDefault="007F6EF3" w:rsidP="00265B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ACFCCEE" w14:textId="46A94F67" w:rsidR="00D42098" w:rsidRPr="007F6EF3" w:rsidRDefault="007F6EF3" w:rsidP="00265BDF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lang w:bidi="hi-IN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j</w:t>
            </w:r>
            <w:r w:rsidR="00AE7452" w:rsidRPr="007F6E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 nesprávne uvedená referencia na kapitolu 5.1.4. </w:t>
            </w:r>
          </w:p>
        </w:tc>
        <w:tc>
          <w:tcPr>
            <w:tcW w:w="2974" w:type="dxa"/>
          </w:tcPr>
          <w:p w14:paraId="43982EF2" w14:textId="77777777" w:rsidR="00AE7452" w:rsidRPr="007F6EF3" w:rsidRDefault="00AE7452" w:rsidP="00265BDF">
            <w:pPr>
              <w:pStyle w:val="Default"/>
              <w:rPr>
                <w:sz w:val="20"/>
                <w:szCs w:val="20"/>
              </w:rPr>
            </w:pPr>
            <w:r w:rsidRPr="007F6EF3">
              <w:rPr>
                <w:sz w:val="20"/>
                <w:szCs w:val="20"/>
              </w:rPr>
              <w:lastRenderedPageBreak/>
              <w:t xml:space="preserve">Dokument neobsahuje kapitolu 5.1.4. </w:t>
            </w:r>
          </w:p>
          <w:p w14:paraId="40F5C384" w14:textId="48E3E62E" w:rsidR="00D42098" w:rsidRPr="007F6EF3" w:rsidRDefault="00D42098" w:rsidP="00265BDF">
            <w:pPr>
              <w:pStyle w:val="Zkladntext"/>
              <w:spacing w:after="0" w:line="240" w:lineRule="auto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</w:p>
        </w:tc>
        <w:tc>
          <w:tcPr>
            <w:tcW w:w="4825" w:type="dxa"/>
          </w:tcPr>
          <w:p w14:paraId="2F5A7EF0" w14:textId="065602CC" w:rsidR="00D42098" w:rsidRPr="007F6EF3" w:rsidRDefault="00A151E9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  <w:r>
              <w:rPr>
                <w:rFonts w:ascii="Arial" w:hAnsi="Arial" w:cs="Arial"/>
                <w:szCs w:val="20"/>
                <w:lang w:bidi="hi-IN"/>
              </w:rPr>
              <w:t xml:space="preserve">Správna referencia má byť </w:t>
            </w:r>
            <w:r w:rsidR="0045154C">
              <w:rPr>
                <w:rFonts w:ascii="Arial" w:hAnsi="Arial" w:cs="Arial"/>
                <w:szCs w:val="20"/>
                <w:lang w:bidi="hi-IN"/>
              </w:rPr>
              <w:t xml:space="preserve">na </w:t>
            </w:r>
            <w:r>
              <w:rPr>
                <w:rFonts w:ascii="Arial" w:hAnsi="Arial" w:cs="Arial"/>
                <w:szCs w:val="20"/>
                <w:lang w:bidi="hi-IN"/>
              </w:rPr>
              <w:t>kapitol</w:t>
            </w:r>
            <w:r w:rsidR="0045154C">
              <w:rPr>
                <w:rFonts w:ascii="Arial" w:hAnsi="Arial" w:cs="Arial"/>
                <w:szCs w:val="20"/>
                <w:lang w:bidi="hi-IN"/>
              </w:rPr>
              <w:t>u</w:t>
            </w:r>
            <w:r>
              <w:rPr>
                <w:rFonts w:ascii="Arial" w:hAnsi="Arial" w:cs="Arial"/>
                <w:szCs w:val="20"/>
                <w:lang w:bidi="hi-IN"/>
              </w:rPr>
              <w:t xml:space="preserve"> 5.1.</w:t>
            </w:r>
          </w:p>
        </w:tc>
        <w:tc>
          <w:tcPr>
            <w:tcW w:w="2088" w:type="dxa"/>
          </w:tcPr>
          <w:p w14:paraId="3DC48AD0" w14:textId="326BF0CF" w:rsidR="00D42098" w:rsidRPr="007F6EF3" w:rsidRDefault="00620F6C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ÁNO</w:t>
            </w:r>
          </w:p>
        </w:tc>
      </w:tr>
      <w:tr w:rsidR="00D42098" w:rsidRPr="007F6EF3" w14:paraId="50873563" w14:textId="77777777" w:rsidTr="00C75826">
        <w:tc>
          <w:tcPr>
            <w:tcW w:w="938" w:type="dxa"/>
          </w:tcPr>
          <w:p w14:paraId="32E6F191" w14:textId="60CD59BE" w:rsidR="00D42098" w:rsidRPr="007F6EF3" w:rsidRDefault="00D42098" w:rsidP="00265B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6" w:type="dxa"/>
          </w:tcPr>
          <w:p w14:paraId="60CE258F" w14:textId="19B21B48" w:rsidR="00D42098" w:rsidRPr="007F6EF3" w:rsidRDefault="00D42098" w:rsidP="00265BDF">
            <w:pPr>
              <w:spacing w:after="0" w:line="240" w:lineRule="auto"/>
              <w:rPr>
                <w:rFonts w:ascii="Arial" w:hAnsi="Arial" w:cs="Arial"/>
                <w:i/>
                <w:sz w:val="20"/>
                <w:lang w:bidi="hi-IN"/>
              </w:rPr>
            </w:pPr>
          </w:p>
        </w:tc>
        <w:tc>
          <w:tcPr>
            <w:tcW w:w="2974" w:type="dxa"/>
          </w:tcPr>
          <w:p w14:paraId="5F83CFA4" w14:textId="5427E612" w:rsidR="00D42098" w:rsidRPr="007F6EF3" w:rsidRDefault="00D42098" w:rsidP="00265BDF">
            <w:pPr>
              <w:pStyle w:val="Zkladntext"/>
              <w:spacing w:after="0" w:line="240" w:lineRule="auto"/>
              <w:rPr>
                <w:rFonts w:ascii="Arial" w:eastAsiaTheme="majorEastAsia" w:hAnsi="Arial" w:cs="Arial"/>
                <w:iCs/>
                <w:lang w:bidi="hi-IN"/>
                <w14:ligatures w14:val="standard"/>
              </w:rPr>
            </w:pPr>
          </w:p>
        </w:tc>
        <w:tc>
          <w:tcPr>
            <w:tcW w:w="4825" w:type="dxa"/>
          </w:tcPr>
          <w:p w14:paraId="5EC1A79C" w14:textId="001F846C" w:rsidR="00E46FBC" w:rsidRPr="007F6EF3" w:rsidRDefault="00E46FBC" w:rsidP="00265BDF">
            <w:pPr>
              <w:pStyle w:val="Zkladntext"/>
              <w:spacing w:after="0" w:line="240" w:lineRule="auto"/>
              <w:rPr>
                <w:rFonts w:ascii="Arial" w:hAnsi="Arial" w:cs="Arial"/>
                <w:szCs w:val="20"/>
                <w:lang w:bidi="hi-IN"/>
              </w:rPr>
            </w:pPr>
          </w:p>
        </w:tc>
        <w:tc>
          <w:tcPr>
            <w:tcW w:w="2088" w:type="dxa"/>
          </w:tcPr>
          <w:p w14:paraId="4647EE21" w14:textId="61A488C3" w:rsidR="00D42098" w:rsidRPr="007F6EF3" w:rsidRDefault="00D42098" w:rsidP="00265BDF">
            <w:pPr>
              <w:pStyle w:val="Zkladntext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683B68F" w14:textId="77777777" w:rsidR="00493D64" w:rsidRPr="007F6EF3" w:rsidRDefault="00493D64" w:rsidP="00265BDF">
      <w:pPr>
        <w:tabs>
          <w:tab w:val="left" w:pos="1598"/>
        </w:tabs>
        <w:spacing w:after="0" w:line="240" w:lineRule="auto"/>
        <w:rPr>
          <w:rFonts w:ascii="Arial" w:hAnsi="Arial" w:cs="Arial"/>
          <w:sz w:val="24"/>
        </w:rPr>
      </w:pPr>
    </w:p>
    <w:sectPr w:rsidR="00493D64" w:rsidRPr="007F6EF3" w:rsidSect="004A7ED8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F7F72" w14:textId="77777777" w:rsidR="00C51660" w:rsidRDefault="00C51660" w:rsidP="007755BD">
      <w:pPr>
        <w:spacing w:after="0" w:line="240" w:lineRule="auto"/>
      </w:pPr>
      <w:r>
        <w:separator/>
      </w:r>
    </w:p>
  </w:endnote>
  <w:endnote w:type="continuationSeparator" w:id="0">
    <w:p w14:paraId="1F25BA11" w14:textId="77777777" w:rsidR="00C51660" w:rsidRDefault="00C51660" w:rsidP="007755BD">
      <w:pPr>
        <w:spacing w:after="0" w:line="240" w:lineRule="auto"/>
      </w:pPr>
      <w:r>
        <w:continuationSeparator/>
      </w:r>
    </w:p>
  </w:endnote>
  <w:endnote w:type="continuationNotice" w:id="1">
    <w:p w14:paraId="48FA99D4" w14:textId="77777777" w:rsidR="00A503F5" w:rsidRDefault="00A503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4705" w14:textId="0CB39844" w:rsidR="00596F6B" w:rsidRPr="006325E1" w:rsidRDefault="00755506" w:rsidP="0097728F">
    <w:pPr>
      <w:pStyle w:val="Pta"/>
      <w:jc w:val="both"/>
      <w:rPr>
        <w:i/>
        <w:sz w:val="20"/>
        <w:szCs w:val="20"/>
      </w:rPr>
    </w:pPr>
    <w:r w:rsidRPr="0097728F">
      <w:rPr>
        <w:i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83DB41" wp14:editId="5543FCF5">
              <wp:simplePos x="0" y="0"/>
              <wp:positionH relativeFrom="column">
                <wp:posOffset>-25152</wp:posOffset>
              </wp:positionH>
              <wp:positionV relativeFrom="paragraph">
                <wp:posOffset>-34980</wp:posOffset>
              </wp:positionV>
              <wp:extent cx="8760212" cy="26725"/>
              <wp:effectExtent l="0" t="0" r="22225" b="3048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60212" cy="267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3D5670" id="Rovná spojnica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-2.75pt" to="687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" strokecolor="black [3213]" strokeweight=".5pt">
              <v:stroke joinstyle="miter"/>
            </v:line>
          </w:pict>
        </mc:Fallback>
      </mc:AlternateContent>
    </w:r>
    <w:r w:rsidR="007D6142">
      <w:rPr>
        <w:i/>
        <w:sz w:val="20"/>
        <w:szCs w:val="20"/>
      </w:rPr>
      <w:t xml:space="preserve">Vyhodnotenie pripomienok </w:t>
    </w:r>
    <w:r w:rsidRPr="0097728F">
      <w:rPr>
        <w:i/>
        <w:sz w:val="20"/>
        <w:szCs w:val="20"/>
      </w:rPr>
      <w:t>po verejnej konzultácii</w:t>
    </w:r>
    <w:r>
      <w:t xml:space="preserve">                                                    </w:t>
    </w:r>
    <w:r w:rsidR="000A4445">
      <w:t xml:space="preserve">                </w:t>
    </w:r>
    <w:r w:rsidR="00596F6B">
      <w:tab/>
    </w:r>
    <w:r w:rsidR="00596F6B">
      <w:tab/>
    </w:r>
    <w:r w:rsidR="00596F6B">
      <w:tab/>
    </w:r>
    <w:r w:rsidR="00596F6B">
      <w:tab/>
    </w:r>
    <w:r w:rsidR="00596F6B">
      <w:tab/>
    </w:r>
    <w:r w:rsidR="00D20C1B">
      <w:tab/>
    </w:r>
    <w:r w:rsidR="00D20C1B">
      <w:tab/>
    </w:r>
    <w:r w:rsidR="00596F6B" w:rsidRPr="006325E1">
      <w:rPr>
        <w:i/>
        <w:sz w:val="20"/>
        <w:szCs w:val="20"/>
      </w:rPr>
      <w:t xml:space="preserve">Strana </w:t>
    </w:r>
    <w:r w:rsidR="00596F6B" w:rsidRPr="006325E1">
      <w:rPr>
        <w:bCs/>
        <w:i/>
        <w:sz w:val="20"/>
        <w:szCs w:val="20"/>
      </w:rPr>
      <w:fldChar w:fldCharType="begin"/>
    </w:r>
    <w:r w:rsidR="00596F6B" w:rsidRPr="006325E1">
      <w:rPr>
        <w:bCs/>
        <w:i/>
        <w:sz w:val="20"/>
        <w:szCs w:val="20"/>
      </w:rPr>
      <w:instrText>PAGE  \* Arabic  \* MERGEFORMAT</w:instrText>
    </w:r>
    <w:r w:rsidR="00596F6B" w:rsidRPr="006325E1">
      <w:rPr>
        <w:bCs/>
        <w:i/>
        <w:sz w:val="20"/>
        <w:szCs w:val="20"/>
      </w:rPr>
      <w:fldChar w:fldCharType="separate"/>
    </w:r>
    <w:r w:rsidR="00C3240E">
      <w:rPr>
        <w:bCs/>
        <w:i/>
        <w:noProof/>
        <w:sz w:val="20"/>
        <w:szCs w:val="20"/>
      </w:rPr>
      <w:t>8</w:t>
    </w:r>
    <w:r w:rsidR="00596F6B" w:rsidRPr="006325E1">
      <w:rPr>
        <w:bCs/>
        <w:i/>
        <w:sz w:val="20"/>
        <w:szCs w:val="20"/>
      </w:rPr>
      <w:fldChar w:fldCharType="end"/>
    </w:r>
    <w:r w:rsidR="00596F6B" w:rsidRPr="006325E1">
      <w:rPr>
        <w:i/>
        <w:sz w:val="20"/>
        <w:szCs w:val="20"/>
      </w:rPr>
      <w:t xml:space="preserve"> z </w:t>
    </w:r>
    <w:r w:rsidR="00596F6B" w:rsidRPr="006325E1">
      <w:rPr>
        <w:bCs/>
        <w:i/>
        <w:sz w:val="20"/>
        <w:szCs w:val="20"/>
      </w:rPr>
      <w:fldChar w:fldCharType="begin"/>
    </w:r>
    <w:r w:rsidR="00596F6B" w:rsidRPr="006325E1">
      <w:rPr>
        <w:bCs/>
        <w:i/>
        <w:sz w:val="20"/>
        <w:szCs w:val="20"/>
      </w:rPr>
      <w:instrText>NUMPAGES  \* Arabic  \* MERGEFORMAT</w:instrText>
    </w:r>
    <w:r w:rsidR="00596F6B" w:rsidRPr="006325E1">
      <w:rPr>
        <w:bCs/>
        <w:i/>
        <w:sz w:val="20"/>
        <w:szCs w:val="20"/>
      </w:rPr>
      <w:fldChar w:fldCharType="separate"/>
    </w:r>
    <w:r w:rsidR="00C3240E">
      <w:rPr>
        <w:bCs/>
        <w:i/>
        <w:noProof/>
        <w:sz w:val="20"/>
        <w:szCs w:val="20"/>
      </w:rPr>
      <w:t>8</w:t>
    </w:r>
    <w:r w:rsidR="00596F6B" w:rsidRPr="006325E1">
      <w:rPr>
        <w:bCs/>
        <w:i/>
        <w:sz w:val="20"/>
        <w:szCs w:val="20"/>
      </w:rPr>
      <w:fldChar w:fldCharType="end"/>
    </w:r>
  </w:p>
  <w:p w14:paraId="2C8EAB52" w14:textId="77777777" w:rsidR="008609E3" w:rsidRDefault="008609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BF2DA" w14:textId="77777777" w:rsidR="00C51660" w:rsidRDefault="00C51660" w:rsidP="007755BD">
      <w:pPr>
        <w:spacing w:after="0" w:line="240" w:lineRule="auto"/>
      </w:pPr>
      <w:r>
        <w:separator/>
      </w:r>
    </w:p>
  </w:footnote>
  <w:footnote w:type="continuationSeparator" w:id="0">
    <w:p w14:paraId="536607C5" w14:textId="77777777" w:rsidR="00C51660" w:rsidRDefault="00C51660" w:rsidP="007755BD">
      <w:pPr>
        <w:spacing w:after="0" w:line="240" w:lineRule="auto"/>
      </w:pPr>
      <w:r>
        <w:continuationSeparator/>
      </w:r>
    </w:p>
  </w:footnote>
  <w:footnote w:type="continuationNotice" w:id="1">
    <w:p w14:paraId="4BC19F5E" w14:textId="77777777" w:rsidR="00A503F5" w:rsidRDefault="00A503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3740" w14:textId="539D798F" w:rsidR="007755BD" w:rsidRDefault="007D6142">
    <w:pPr>
      <w:pStyle w:val="Hlavika"/>
    </w:pPr>
    <w:r>
      <w:rPr>
        <w:rFonts w:cs="Arial"/>
        <w:noProof/>
        <w:lang w:eastAsia="sk-SK"/>
      </w:rPr>
      <w:drawing>
        <wp:inline distT="0" distB="0" distL="0" distR="0" wp14:anchorId="0617E32F" wp14:editId="5D7342A9">
          <wp:extent cx="1314450" cy="11430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B5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1662E"/>
    <w:multiLevelType w:val="hybridMultilevel"/>
    <w:tmpl w:val="DF020F68"/>
    <w:lvl w:ilvl="0" w:tplc="801E81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559"/>
    <w:multiLevelType w:val="hybridMultilevel"/>
    <w:tmpl w:val="3CF4C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40B"/>
    <w:multiLevelType w:val="hybridMultilevel"/>
    <w:tmpl w:val="05969378"/>
    <w:lvl w:ilvl="0" w:tplc="CB32B844">
      <w:start w:val="5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6096E"/>
    <w:multiLevelType w:val="hybridMultilevel"/>
    <w:tmpl w:val="AF086F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F07435D8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D200F662">
      <w:start w:val="1"/>
      <w:numFmt w:val="lowerRoman"/>
      <w:lvlText w:val="%3)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A6A7E"/>
    <w:multiLevelType w:val="hybridMultilevel"/>
    <w:tmpl w:val="75281096"/>
    <w:lvl w:ilvl="0" w:tplc="CB04E450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45BD8"/>
    <w:multiLevelType w:val="hybridMultilevel"/>
    <w:tmpl w:val="DE88C876"/>
    <w:lvl w:ilvl="0" w:tplc="D604D6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15D36"/>
    <w:multiLevelType w:val="hybridMultilevel"/>
    <w:tmpl w:val="38E057BC"/>
    <w:lvl w:ilvl="0" w:tplc="4EF43F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2746F"/>
    <w:multiLevelType w:val="hybridMultilevel"/>
    <w:tmpl w:val="D5DE4C16"/>
    <w:lvl w:ilvl="0" w:tplc="BE7C26C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73FA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0A3445C"/>
    <w:multiLevelType w:val="hybridMultilevel"/>
    <w:tmpl w:val="85D848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F49CF"/>
    <w:multiLevelType w:val="hybridMultilevel"/>
    <w:tmpl w:val="12D26E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D2648"/>
    <w:multiLevelType w:val="hybridMultilevel"/>
    <w:tmpl w:val="A2C04E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805E1"/>
    <w:multiLevelType w:val="hybridMultilevel"/>
    <w:tmpl w:val="5BE276B0"/>
    <w:lvl w:ilvl="0" w:tplc="E4C0501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02370"/>
    <w:multiLevelType w:val="hybridMultilevel"/>
    <w:tmpl w:val="732E3CA6"/>
    <w:lvl w:ilvl="0" w:tplc="D68C3B1C">
      <w:start w:val="3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467681">
    <w:abstractNumId w:val="11"/>
  </w:num>
  <w:num w:numId="2" w16cid:durableId="211159758">
    <w:abstractNumId w:val="2"/>
  </w:num>
  <w:num w:numId="3" w16cid:durableId="1399472037">
    <w:abstractNumId w:val="1"/>
  </w:num>
  <w:num w:numId="4" w16cid:durableId="1466239001">
    <w:abstractNumId w:val="5"/>
  </w:num>
  <w:num w:numId="5" w16cid:durableId="921912881">
    <w:abstractNumId w:val="12"/>
  </w:num>
  <w:num w:numId="6" w16cid:durableId="435297013">
    <w:abstractNumId w:val="13"/>
  </w:num>
  <w:num w:numId="7" w16cid:durableId="1082021115">
    <w:abstractNumId w:val="7"/>
  </w:num>
  <w:num w:numId="8" w16cid:durableId="1969974698">
    <w:abstractNumId w:val="4"/>
  </w:num>
  <w:num w:numId="9" w16cid:durableId="1888831384">
    <w:abstractNumId w:val="8"/>
  </w:num>
  <w:num w:numId="10" w16cid:durableId="1043751275">
    <w:abstractNumId w:val="10"/>
  </w:num>
  <w:num w:numId="11" w16cid:durableId="1287158174">
    <w:abstractNumId w:val="14"/>
  </w:num>
  <w:num w:numId="12" w16cid:durableId="1705712975">
    <w:abstractNumId w:val="3"/>
  </w:num>
  <w:num w:numId="13" w16cid:durableId="565267166">
    <w:abstractNumId w:val="9"/>
  </w:num>
  <w:num w:numId="14" w16cid:durableId="1565990805">
    <w:abstractNumId w:val="0"/>
  </w:num>
  <w:num w:numId="15" w16cid:durableId="21305131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BD"/>
    <w:rsid w:val="0000732D"/>
    <w:rsid w:val="000266AA"/>
    <w:rsid w:val="000464C5"/>
    <w:rsid w:val="00060FCD"/>
    <w:rsid w:val="000657C1"/>
    <w:rsid w:val="000A4445"/>
    <w:rsid w:val="000D3398"/>
    <w:rsid w:val="000D77A4"/>
    <w:rsid w:val="000F5957"/>
    <w:rsid w:val="00145189"/>
    <w:rsid w:val="00162CF3"/>
    <w:rsid w:val="00175C83"/>
    <w:rsid w:val="00192F9A"/>
    <w:rsid w:val="001938A7"/>
    <w:rsid w:val="001B6E3D"/>
    <w:rsid w:val="001C174A"/>
    <w:rsid w:val="001F3D3A"/>
    <w:rsid w:val="002115DD"/>
    <w:rsid w:val="0024785F"/>
    <w:rsid w:val="00262299"/>
    <w:rsid w:val="00265BDF"/>
    <w:rsid w:val="0027105B"/>
    <w:rsid w:val="002A392F"/>
    <w:rsid w:val="002C1F7D"/>
    <w:rsid w:val="002E6724"/>
    <w:rsid w:val="00327ADD"/>
    <w:rsid w:val="003440E3"/>
    <w:rsid w:val="0037123D"/>
    <w:rsid w:val="003A6102"/>
    <w:rsid w:val="003A66FA"/>
    <w:rsid w:val="003B7BA4"/>
    <w:rsid w:val="003C5CB3"/>
    <w:rsid w:val="003F5A26"/>
    <w:rsid w:val="0040172E"/>
    <w:rsid w:val="00415B39"/>
    <w:rsid w:val="00415C32"/>
    <w:rsid w:val="00443261"/>
    <w:rsid w:val="0045154C"/>
    <w:rsid w:val="0047594F"/>
    <w:rsid w:val="00490683"/>
    <w:rsid w:val="00493D64"/>
    <w:rsid w:val="00493E17"/>
    <w:rsid w:val="0049519E"/>
    <w:rsid w:val="004A7ED8"/>
    <w:rsid w:val="004B74D2"/>
    <w:rsid w:val="004C78A6"/>
    <w:rsid w:val="00542BA9"/>
    <w:rsid w:val="00582AC0"/>
    <w:rsid w:val="00596F6B"/>
    <w:rsid w:val="005A76C9"/>
    <w:rsid w:val="005C0E78"/>
    <w:rsid w:val="005C1F20"/>
    <w:rsid w:val="005C7A85"/>
    <w:rsid w:val="005D5655"/>
    <w:rsid w:val="00611B75"/>
    <w:rsid w:val="00620F6C"/>
    <w:rsid w:val="006229FD"/>
    <w:rsid w:val="00636CDB"/>
    <w:rsid w:val="006373D4"/>
    <w:rsid w:val="00660952"/>
    <w:rsid w:val="00660DFD"/>
    <w:rsid w:val="0067091F"/>
    <w:rsid w:val="00696F3D"/>
    <w:rsid w:val="006A0932"/>
    <w:rsid w:val="006B551B"/>
    <w:rsid w:val="006B6004"/>
    <w:rsid w:val="006C110E"/>
    <w:rsid w:val="006C15C5"/>
    <w:rsid w:val="006C639F"/>
    <w:rsid w:val="006D1DD6"/>
    <w:rsid w:val="006F77D6"/>
    <w:rsid w:val="00733CD1"/>
    <w:rsid w:val="00747F4A"/>
    <w:rsid w:val="00755506"/>
    <w:rsid w:val="00762946"/>
    <w:rsid w:val="007755BD"/>
    <w:rsid w:val="00787789"/>
    <w:rsid w:val="007878E1"/>
    <w:rsid w:val="007946E8"/>
    <w:rsid w:val="007955F2"/>
    <w:rsid w:val="00797395"/>
    <w:rsid w:val="007A1232"/>
    <w:rsid w:val="007B5A03"/>
    <w:rsid w:val="007D6142"/>
    <w:rsid w:val="007E5626"/>
    <w:rsid w:val="007F0CA5"/>
    <w:rsid w:val="007F6EF3"/>
    <w:rsid w:val="008154CD"/>
    <w:rsid w:val="008338EB"/>
    <w:rsid w:val="008436A2"/>
    <w:rsid w:val="00850F44"/>
    <w:rsid w:val="008609E3"/>
    <w:rsid w:val="00891F1D"/>
    <w:rsid w:val="008B2261"/>
    <w:rsid w:val="008E3078"/>
    <w:rsid w:val="00954185"/>
    <w:rsid w:val="0097728F"/>
    <w:rsid w:val="00993500"/>
    <w:rsid w:val="009945A0"/>
    <w:rsid w:val="009B279F"/>
    <w:rsid w:val="009C0658"/>
    <w:rsid w:val="009C093A"/>
    <w:rsid w:val="00A151E9"/>
    <w:rsid w:val="00A1535B"/>
    <w:rsid w:val="00A503F5"/>
    <w:rsid w:val="00A610EE"/>
    <w:rsid w:val="00A8009F"/>
    <w:rsid w:val="00AB346D"/>
    <w:rsid w:val="00AE7452"/>
    <w:rsid w:val="00AF2C97"/>
    <w:rsid w:val="00B0460F"/>
    <w:rsid w:val="00B17C29"/>
    <w:rsid w:val="00B40D68"/>
    <w:rsid w:val="00B64FD9"/>
    <w:rsid w:val="00B96507"/>
    <w:rsid w:val="00BC5256"/>
    <w:rsid w:val="00BE73A5"/>
    <w:rsid w:val="00C00BCA"/>
    <w:rsid w:val="00C0644A"/>
    <w:rsid w:val="00C30E56"/>
    <w:rsid w:val="00C3240E"/>
    <w:rsid w:val="00C43CB2"/>
    <w:rsid w:val="00C47ACB"/>
    <w:rsid w:val="00C51660"/>
    <w:rsid w:val="00C567A4"/>
    <w:rsid w:val="00C75826"/>
    <w:rsid w:val="00C82D04"/>
    <w:rsid w:val="00C84A7A"/>
    <w:rsid w:val="00C869B6"/>
    <w:rsid w:val="00C9048C"/>
    <w:rsid w:val="00C97B7B"/>
    <w:rsid w:val="00CE1455"/>
    <w:rsid w:val="00D15B17"/>
    <w:rsid w:val="00D20C1B"/>
    <w:rsid w:val="00D260ED"/>
    <w:rsid w:val="00D42098"/>
    <w:rsid w:val="00D4331A"/>
    <w:rsid w:val="00D53D3B"/>
    <w:rsid w:val="00D6116C"/>
    <w:rsid w:val="00D6708F"/>
    <w:rsid w:val="00D7073C"/>
    <w:rsid w:val="00D94971"/>
    <w:rsid w:val="00DA2032"/>
    <w:rsid w:val="00DD69E4"/>
    <w:rsid w:val="00DE0B0E"/>
    <w:rsid w:val="00DF3B79"/>
    <w:rsid w:val="00E01A74"/>
    <w:rsid w:val="00E03EC0"/>
    <w:rsid w:val="00E20756"/>
    <w:rsid w:val="00E40B22"/>
    <w:rsid w:val="00E46FBC"/>
    <w:rsid w:val="00E71B84"/>
    <w:rsid w:val="00E72322"/>
    <w:rsid w:val="00E846B3"/>
    <w:rsid w:val="00E878ED"/>
    <w:rsid w:val="00E94E15"/>
    <w:rsid w:val="00EA03E5"/>
    <w:rsid w:val="00EC3D70"/>
    <w:rsid w:val="00ED4CEC"/>
    <w:rsid w:val="00F17B1F"/>
    <w:rsid w:val="00F21A28"/>
    <w:rsid w:val="00F23524"/>
    <w:rsid w:val="00F23986"/>
    <w:rsid w:val="00F97781"/>
    <w:rsid w:val="00FC47A0"/>
    <w:rsid w:val="00FF05D7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A2BEC"/>
  <w15:chartTrackingRefBased/>
  <w15:docId w15:val="{94572942-4877-4D20-BD29-DC261E4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582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7755BD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7755BD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aliases w:val="Odstavec1,Párrafo de lista,Puce,EG Bullet 1"/>
    <w:basedOn w:val="Normlny"/>
    <w:link w:val="OdsekzoznamuChar"/>
    <w:uiPriority w:val="34"/>
    <w:qFormat/>
    <w:rsid w:val="007755BD"/>
    <w:pPr>
      <w:spacing w:line="240" w:lineRule="auto"/>
      <w:ind w:left="720" w:hanging="288"/>
      <w:contextualSpacing/>
    </w:pPr>
  </w:style>
  <w:style w:type="paragraph" w:styleId="Zkladntext">
    <w:name w:val="Body Text"/>
    <w:basedOn w:val="Normlny"/>
    <w:link w:val="ZkladntextChar"/>
    <w:uiPriority w:val="99"/>
    <w:unhideWhenUsed/>
    <w:qFormat/>
    <w:rsid w:val="007755BD"/>
    <w:pPr>
      <w:spacing w:after="120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55BD"/>
    <w:rPr>
      <w:sz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755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755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55BD"/>
    <w:rPr>
      <w:sz w:val="20"/>
      <w:szCs w:val="20"/>
    </w:rPr>
  </w:style>
  <w:style w:type="table" w:styleId="Mriekatabuky">
    <w:name w:val="Table Grid"/>
    <w:basedOn w:val="Normlnatabuka"/>
    <w:uiPriority w:val="39"/>
    <w:rsid w:val="0077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7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5B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55BD"/>
  </w:style>
  <w:style w:type="paragraph" w:styleId="Pta">
    <w:name w:val="footer"/>
    <w:basedOn w:val="Normlny"/>
    <w:link w:val="PtaChar"/>
    <w:uiPriority w:val="99"/>
    <w:unhideWhenUsed/>
    <w:rsid w:val="00775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55B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5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5BD"/>
    <w:rPr>
      <w:b/>
      <w:bCs/>
      <w:sz w:val="20"/>
      <w:szCs w:val="20"/>
    </w:rPr>
  </w:style>
  <w:style w:type="character" w:customStyle="1" w:styleId="OdsekzoznamuChar">
    <w:name w:val="Odsek zoznamu Char"/>
    <w:aliases w:val="Odstavec1 Char,Párrafo de lista Char,Puce Char,EG Bullet 1 Char"/>
    <w:basedOn w:val="Predvolenpsmoodseku"/>
    <w:link w:val="Odsekzoznamu"/>
    <w:uiPriority w:val="34"/>
    <w:rsid w:val="00954185"/>
  </w:style>
  <w:style w:type="paragraph" w:customStyle="1" w:styleId="normal1">
    <w:name w:val="normal_1"/>
    <w:basedOn w:val="Normlny"/>
    <w:link w:val="normal1Char"/>
    <w:rsid w:val="009945A0"/>
    <w:pPr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normal1Char">
    <w:name w:val="normal_1 Char"/>
    <w:basedOn w:val="Predvolenpsmoodseku"/>
    <w:link w:val="normal1"/>
    <w:rsid w:val="009945A0"/>
    <w:rPr>
      <w:rFonts w:ascii="Arial" w:eastAsia="Times New Roman" w:hAnsi="Arial" w:cs="Times New Roman"/>
      <w:sz w:val="20"/>
      <w:szCs w:val="24"/>
      <w:lang w:eastAsia="sk-SK"/>
    </w:rPr>
  </w:style>
  <w:style w:type="paragraph" w:customStyle="1" w:styleId="Odsektextu">
    <w:name w:val="Odsek textu"/>
    <w:basedOn w:val="normal1"/>
    <w:link w:val="OdsektextuChar"/>
    <w:qFormat/>
    <w:rsid w:val="009945A0"/>
    <w:pPr>
      <w:ind w:firstLine="0"/>
    </w:pPr>
    <w:rPr>
      <w:rFonts w:cs="Arial"/>
    </w:rPr>
  </w:style>
  <w:style w:type="character" w:customStyle="1" w:styleId="OdsektextuChar">
    <w:name w:val="Odsek textu Char"/>
    <w:basedOn w:val="normal1Char"/>
    <w:link w:val="Odsektextu"/>
    <w:rsid w:val="009945A0"/>
    <w:rPr>
      <w:rFonts w:ascii="Arial" w:eastAsia="Times New Roman" w:hAnsi="Arial" w:cs="Arial"/>
      <w:sz w:val="20"/>
      <w:szCs w:val="24"/>
      <w:lang w:eastAsia="sk-SK"/>
    </w:rPr>
  </w:style>
  <w:style w:type="paragraph" w:customStyle="1" w:styleId="Default">
    <w:name w:val="Default"/>
    <w:rsid w:val="00E207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C43CB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4785F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4785F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3F5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tsoe.eu/outlooks/eraa/2022/eraa-download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2FAD89370E4E9B2C2A17A46C90A6" ma:contentTypeVersion="0" ma:contentTypeDescription="Umožňuje vytvoriť nový dokument." ma:contentTypeScope="" ma:versionID="ded5d77ee57d3426a9334acba3a30d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C1810-4C5C-4813-8C26-A9FBCC621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53A33-3E98-41F3-A08A-381645299AF1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5F401F-F3F0-4C20-95A3-F44E3C9ABB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114F89-A4E2-41EE-8176-A8579F4B1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13</Pages>
  <Words>2839</Words>
  <Characters>16187</Characters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2018-09-10T06:33:00Z</cp:lastPrinted>
  <dcterms:created xsi:type="dcterms:W3CDTF">2018-09-14T11:04:00Z</dcterms:created>
  <dcterms:modified xsi:type="dcterms:W3CDTF">2023-04-14T10:36:00Z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2023-04-05T08:01:05Z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43ca695e-8969-4629-a8ec-3e2c17a14b7c</vt:lpwstr>
  </property>
  <property fmtid="{D5CDD505-2E9C-101B-9397-08002B2CF9AE}" pid="8" name="MSIP_Label_2e585759-362d-4185-bb50-fc81b58bf15d_ContentBits">
    <vt:lpwstr>0</vt:lpwstr>
  </property>
  <property fmtid="{D5CDD505-2E9C-101B-9397-08002B2CF9AE}" pid="9" name="ContentTypeId">
    <vt:lpwstr>0x01010023192FAD89370E4E9B2C2A17A46C90A6</vt:lpwstr>
  </property>
</Properties>
</file>