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1"/>
        <w:tblW w:w="14130" w:type="dxa"/>
        <w:tblInd w:w="-131" w:type="dxa"/>
        <w:tblCellMar>
          <w:top w:w="12" w:type="dxa"/>
          <w:left w:w="107" w:type="dxa"/>
          <w:right w:w="42" w:type="dxa"/>
        </w:tblCellMar>
        <w:tblLook w:val="04A0" w:firstRow="1" w:lastRow="0" w:firstColumn="1" w:lastColumn="0" w:noHBand="0" w:noVBand="1"/>
      </w:tblPr>
      <w:tblGrid>
        <w:gridCol w:w="1235"/>
        <w:gridCol w:w="4865"/>
        <w:gridCol w:w="2074"/>
        <w:gridCol w:w="3951"/>
        <w:gridCol w:w="269"/>
        <w:gridCol w:w="1736"/>
      </w:tblGrid>
      <w:tr w:rsidR="00CA165E" w14:paraId="39AE151F" w14:textId="77777777" w:rsidTr="568C132B">
        <w:trPr>
          <w:trHeight w:val="500"/>
        </w:trPr>
        <w:tc>
          <w:tcPr>
            <w:tcW w:w="8165" w:type="dxa"/>
            <w:gridSpan w:val="3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shd w:val="clear" w:color="auto" w:fill="A8D08D" w:themeFill="accent6" w:themeFillTint="99"/>
          </w:tcPr>
          <w:p w14:paraId="60627C2C" w14:textId="4024DB7A" w:rsidR="00131BBD" w:rsidRDefault="00CA165E">
            <w:r>
              <w:rPr>
                <w:rFonts w:ascii="Arial" w:eastAsia="Arial" w:hAnsi="Arial" w:cs="Arial"/>
                <w:b/>
                <w:sz w:val="20"/>
              </w:rPr>
              <w:t>Názov a adresa pripomienkujúceho subjektu: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06236" w:rsidRPr="00606236">
              <w:rPr>
                <w:rFonts w:ascii="Arial" w:eastAsia="Arial" w:hAnsi="Arial" w:cs="Arial"/>
                <w:sz w:val="20"/>
              </w:rPr>
              <w:t xml:space="preserve">ENERGY TRADING COMPANY, </w:t>
            </w:r>
            <w:proofErr w:type="spellStart"/>
            <w:r w:rsidR="00606236" w:rsidRPr="00606236">
              <w:rPr>
                <w:rFonts w:ascii="Arial" w:eastAsia="Arial" w:hAnsi="Arial" w:cs="Arial"/>
                <w:sz w:val="20"/>
              </w:rPr>
              <w:t>s.r.o</w:t>
            </w:r>
            <w:proofErr w:type="spellEnd"/>
            <w:r w:rsidR="00606236" w:rsidRPr="00606236">
              <w:rPr>
                <w:rFonts w:ascii="Arial" w:eastAsia="Arial" w:hAnsi="Arial" w:cs="Arial"/>
                <w:sz w:val="20"/>
              </w:rPr>
              <w:t>.</w:t>
            </w:r>
            <w:r w:rsidR="00606236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="00606236" w:rsidRPr="00606236">
              <w:rPr>
                <w:rFonts w:ascii="Arial" w:eastAsia="Arial" w:hAnsi="Arial" w:cs="Arial"/>
                <w:sz w:val="20"/>
              </w:rPr>
              <w:t>Wilsonovo</w:t>
            </w:r>
            <w:proofErr w:type="spellEnd"/>
            <w:r w:rsidR="00606236" w:rsidRPr="0060623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606236" w:rsidRPr="00606236">
              <w:rPr>
                <w:rFonts w:ascii="Arial" w:eastAsia="Arial" w:hAnsi="Arial" w:cs="Arial"/>
                <w:sz w:val="20"/>
              </w:rPr>
              <w:t>nábr</w:t>
            </w:r>
            <w:proofErr w:type="spellEnd"/>
            <w:r w:rsidR="00606236" w:rsidRPr="00606236">
              <w:rPr>
                <w:rFonts w:ascii="Arial" w:eastAsia="Arial" w:hAnsi="Arial" w:cs="Arial"/>
                <w:sz w:val="20"/>
              </w:rPr>
              <w:t>. 64, 949 01 Nitra</w:t>
            </w:r>
          </w:p>
        </w:tc>
        <w:tc>
          <w:tcPr>
            <w:tcW w:w="395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000000" w:themeColor="text1"/>
              <w:right w:val="nil"/>
            </w:tcBorders>
          </w:tcPr>
          <w:p w14:paraId="3D429FB1" w14:textId="77777777" w:rsidR="00131BBD" w:rsidRDefault="00CA165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806000" w:themeColor="accent4" w:themeShade="80"/>
              <w:left w:val="nil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3FF51EDF" w14:textId="77777777" w:rsidR="00131BBD" w:rsidRDefault="00131BBD"/>
        </w:tc>
      </w:tr>
      <w:tr w:rsidR="00CA165E" w14:paraId="5E66AABE" w14:textId="77777777" w:rsidTr="568C132B">
        <w:trPr>
          <w:trHeight w:val="738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666D245F" w14:textId="77777777" w:rsidR="00131BBD" w:rsidRDefault="00CA165E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Kap. ods. 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04192FC0" w14:textId="77777777" w:rsidR="00131BBD" w:rsidRDefault="00CA165E">
            <w:pPr>
              <w:ind w:right="69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Znenie pripomienky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5549870E" w14:textId="77777777" w:rsidR="00131BBD" w:rsidRDefault="00CA165E">
            <w:pPr>
              <w:ind w:right="67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Odôvodnenie pripomienky 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00CF07AB" w14:textId="77777777" w:rsidR="00131BBD" w:rsidRDefault="00CA165E">
            <w:pPr>
              <w:ind w:right="70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Odpoveď SEPS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2165EDF6" w14:textId="77777777" w:rsidR="00131BBD" w:rsidRPr="0056748B" w:rsidRDefault="00CA165E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Zapracovanie  </w:t>
            </w:r>
          </w:p>
        </w:tc>
      </w:tr>
      <w:tr w:rsidR="00CA165E" w14:paraId="65D90C81" w14:textId="77777777" w:rsidTr="568C132B">
        <w:trPr>
          <w:trHeight w:val="1802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23B11F18" w14:textId="211E9579" w:rsidR="00131BBD" w:rsidRPr="0056748B" w:rsidRDefault="00606236">
            <w:pPr>
              <w:ind w:right="71"/>
              <w:jc w:val="center"/>
              <w:rPr>
                <w:rFonts w:ascii="Arial" w:hAnsi="Arial" w:cs="Arial"/>
              </w:rPr>
            </w:pPr>
            <w:r w:rsidRPr="0056748B">
              <w:rPr>
                <w:rFonts w:ascii="Arial" w:eastAsia="Arial" w:hAnsi="Arial" w:cs="Arial"/>
                <w:sz w:val="20"/>
              </w:rPr>
              <w:t xml:space="preserve">Zoznam skratiek a definície pojmov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5D029244" w14:textId="131D70D7" w:rsidR="00131BBD" w:rsidRPr="0056748B" w:rsidRDefault="00606236">
            <w:pPr>
              <w:ind w:left="1" w:right="68"/>
              <w:jc w:val="both"/>
              <w:rPr>
                <w:rFonts w:ascii="Arial" w:hAnsi="Arial" w:cs="Arial"/>
              </w:rPr>
            </w:pPr>
            <w:r w:rsidRPr="0056748B">
              <w:rPr>
                <w:rFonts w:ascii="Arial" w:hAnsi="Arial" w:cs="Arial"/>
                <w:sz w:val="20"/>
              </w:rPr>
              <w:t xml:space="preserve">Skratka aFRR by mala byť zadefinovaná ako </w:t>
            </w:r>
            <w:proofErr w:type="spellStart"/>
            <w:r w:rsidRPr="0056748B">
              <w:rPr>
                <w:rFonts w:ascii="Arial" w:hAnsi="Arial" w:cs="Arial"/>
                <w:sz w:val="20"/>
              </w:rPr>
              <w:t>Automatic</w:t>
            </w:r>
            <w:proofErr w:type="spellEnd"/>
            <w:r w:rsidRPr="005674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sz w:val="20"/>
              </w:rPr>
              <w:t>Frequency</w:t>
            </w:r>
            <w:proofErr w:type="spellEnd"/>
            <w:r w:rsidRPr="005674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sz w:val="20"/>
              </w:rPr>
              <w:t>Restoration</w:t>
            </w:r>
            <w:proofErr w:type="spellEnd"/>
            <w:r w:rsidRPr="005674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sz w:val="20"/>
              </w:rPr>
              <w:t>Reserve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3A23DAA6" w14:textId="07ACD59F" w:rsidR="00131BBD" w:rsidRPr="0056748B" w:rsidRDefault="00CA165E">
            <w:pPr>
              <w:ind w:left="3"/>
              <w:rPr>
                <w:rFonts w:ascii="Arial" w:hAnsi="Arial" w:cs="Arial"/>
              </w:rPr>
            </w:pPr>
            <w:r w:rsidRPr="0056748B">
              <w:rPr>
                <w:rFonts w:ascii="Arial" w:eastAsia="Arial" w:hAnsi="Arial" w:cs="Arial"/>
                <w:sz w:val="20"/>
              </w:rPr>
              <w:t xml:space="preserve"> </w:t>
            </w:r>
            <w:r w:rsidR="00606236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Zosúladenie pojmov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783FF574" w14:textId="2EC41520" w:rsidR="00131BBD" w:rsidRPr="0056748B" w:rsidRDefault="00161778" w:rsidP="00606236">
            <w:pPr>
              <w:ind w:right="66"/>
              <w:jc w:val="both"/>
              <w:rPr>
                <w:rFonts w:ascii="Arial" w:hAnsi="Arial" w:cs="Arial"/>
              </w:rPr>
            </w:pPr>
            <w:r w:rsidRPr="0056748B">
              <w:rPr>
                <w:rFonts w:ascii="Arial" w:eastAsia="Arial" w:hAnsi="Arial" w:cs="Arial"/>
                <w:sz w:val="20"/>
              </w:rPr>
              <w:t xml:space="preserve">Definícia skratky bude upravená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48B86A76" w14:textId="7BEEED4C" w:rsidR="00131BBD" w:rsidRPr="0056748B" w:rsidRDefault="00161778">
            <w:pPr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B">
              <w:rPr>
                <w:rFonts w:ascii="Arial" w:hAnsi="Arial" w:cs="Arial"/>
                <w:sz w:val="20"/>
                <w:szCs w:val="20"/>
              </w:rPr>
              <w:t>Akceptovan</w:t>
            </w:r>
            <w:r w:rsidR="0056748B" w:rsidRPr="0056748B">
              <w:rPr>
                <w:rFonts w:ascii="Arial" w:hAnsi="Arial" w:cs="Arial"/>
                <w:sz w:val="20"/>
                <w:szCs w:val="20"/>
              </w:rPr>
              <w:t>á</w:t>
            </w:r>
          </w:p>
        </w:tc>
      </w:tr>
      <w:tr w:rsidR="00CA165E" w14:paraId="2DDCDBC9" w14:textId="77777777" w:rsidTr="568C132B">
        <w:trPr>
          <w:trHeight w:val="1802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4EEAA943" w14:textId="6CB0A644" w:rsidR="00606236" w:rsidRPr="0056748B" w:rsidRDefault="00606236" w:rsidP="00606236">
            <w:pPr>
              <w:ind w:right="71"/>
              <w:jc w:val="center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="Arial" w:hAnsi="Arial" w:cs="Arial"/>
                <w:sz w:val="20"/>
              </w:rPr>
              <w:t>1.1.1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1B6C3C4B" w14:textId="4FE77DA2" w:rsidR="00606236" w:rsidRPr="0056748B" w:rsidRDefault="00606236" w:rsidP="00606236">
            <w:pPr>
              <w:ind w:left="1" w:right="68"/>
              <w:jc w:val="both"/>
              <w:rPr>
                <w:rFonts w:ascii="Arial" w:hAnsi="Arial" w:cs="Arial"/>
                <w:sz w:val="20"/>
              </w:rPr>
            </w:pPr>
            <w:r w:rsidRPr="0056748B">
              <w:rPr>
                <w:rFonts w:ascii="Arial" w:hAnsi="Arial" w:cs="Arial"/>
                <w:sz w:val="20"/>
                <w:lang w:bidi="hi-IN"/>
              </w:rPr>
              <w:t>Znenie vety</w:t>
            </w:r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„V súlade s metodikou SPBC (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Methodology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for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a list of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standard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products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for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balancing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capacity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for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frequency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restoration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reserves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and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replacement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reserves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in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accordance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with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Article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25(2) of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Commission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Regulation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(EU) 2017/2195 of 23 November 2017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establishing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a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guideline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on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electricity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</w:t>
            </w:r>
            <w:proofErr w:type="spellStart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>balancing</w:t>
            </w:r>
            <w:proofErr w:type="spellEnd"/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) na účely výmeny regulačnej elektriny prostredníctvom európskych platforiem bude musieť SEPS využívať pre </w:t>
            </w:r>
            <w:r w:rsidRPr="0056748B">
              <w:rPr>
                <w:rFonts w:ascii="Arial" w:hAnsi="Arial" w:cs="Arial"/>
                <w:i/>
                <w:iCs/>
                <w:sz w:val="20"/>
                <w:u w:val="single"/>
                <w:lang w:bidi="hi-IN"/>
              </w:rPr>
              <w:t>cezhraničné obchodovanie</w:t>
            </w:r>
            <w:r w:rsidRPr="0056748B">
              <w:rPr>
                <w:rFonts w:ascii="Arial" w:hAnsi="Arial" w:cs="Arial"/>
                <w:i/>
                <w:iCs/>
                <w:sz w:val="20"/>
                <w:lang w:bidi="hi-IN"/>
              </w:rPr>
              <w:t xml:space="preserve"> od dňa pripojenia sa k európskym platformám na výmenu RE z aFRR a mFRR už len štandardné produkty.“ </w:t>
            </w:r>
            <w:r w:rsidRPr="0056748B">
              <w:rPr>
                <w:rFonts w:ascii="Arial" w:hAnsi="Arial" w:cs="Arial"/>
                <w:sz w:val="20"/>
                <w:lang w:bidi="hi-IN"/>
              </w:rPr>
              <w:t>evokuje dojem, že SEPS obchoduje s elektrinou. Ide len o výmenu a/alebo zdieľanie RE, preto navrhujeme slovné spojenie „cezhraničné obchodovanie“ nahradiť slovným spojením „cezhraničnú výmenu a/alebo zdieľanie RE“.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2251D1A1" w14:textId="7ECB953A" w:rsidR="00606236" w:rsidRPr="0056748B" w:rsidRDefault="00606236" w:rsidP="00606236">
            <w:pPr>
              <w:ind w:left="3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Upresnenie tvrdenia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37E3D2CC" w14:textId="4C9A3923" w:rsidR="00606236" w:rsidRPr="0056748B" w:rsidRDefault="000030CB" w:rsidP="00606236">
            <w:pPr>
              <w:ind w:right="66"/>
              <w:jc w:val="both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="Arial" w:hAnsi="Arial" w:cs="Arial"/>
                <w:sz w:val="20"/>
              </w:rPr>
              <w:t>výraz</w:t>
            </w:r>
            <w:r w:rsidR="00161778" w:rsidRPr="0056748B">
              <w:rPr>
                <w:rFonts w:ascii="Arial" w:eastAsia="Arial" w:hAnsi="Arial" w:cs="Arial"/>
                <w:sz w:val="20"/>
              </w:rPr>
              <w:t xml:space="preserve"> „</w:t>
            </w:r>
            <w:r w:rsidRPr="0056748B">
              <w:rPr>
                <w:rFonts w:ascii="Arial" w:eastAsia="Arial" w:hAnsi="Arial" w:cs="Arial"/>
                <w:i/>
                <w:iCs/>
                <w:sz w:val="20"/>
              </w:rPr>
              <w:t xml:space="preserve">pre </w:t>
            </w:r>
            <w:r w:rsidR="00161778" w:rsidRPr="0056748B">
              <w:rPr>
                <w:rFonts w:ascii="Arial" w:eastAsia="Arial" w:hAnsi="Arial" w:cs="Arial"/>
                <w:i/>
                <w:iCs/>
                <w:sz w:val="20"/>
              </w:rPr>
              <w:t>cezhraničné obchodovanie</w:t>
            </w:r>
            <w:r w:rsidR="00161778" w:rsidRPr="0056748B">
              <w:rPr>
                <w:rFonts w:ascii="Arial" w:eastAsia="Arial" w:hAnsi="Arial" w:cs="Arial"/>
                <w:sz w:val="20"/>
              </w:rPr>
              <w:t>“ bude v predmetnom kontexte nahraden</w:t>
            </w:r>
            <w:r w:rsidR="00D50975">
              <w:rPr>
                <w:rFonts w:ascii="Arial" w:eastAsia="Arial" w:hAnsi="Arial" w:cs="Arial"/>
                <w:sz w:val="20"/>
              </w:rPr>
              <w:t>ý</w:t>
            </w:r>
            <w:r w:rsidR="00161778" w:rsidRPr="0056748B">
              <w:rPr>
                <w:rFonts w:ascii="Arial" w:eastAsia="Arial" w:hAnsi="Arial" w:cs="Arial"/>
                <w:sz w:val="20"/>
              </w:rPr>
              <w:t xml:space="preserve"> </w:t>
            </w:r>
            <w:r w:rsidRPr="0056748B">
              <w:rPr>
                <w:rFonts w:ascii="Arial" w:eastAsia="Arial" w:hAnsi="Arial" w:cs="Arial"/>
                <w:sz w:val="20"/>
              </w:rPr>
              <w:t>výrazom</w:t>
            </w:r>
            <w:r w:rsidR="00161778" w:rsidRPr="0056748B">
              <w:rPr>
                <w:rFonts w:ascii="Arial" w:eastAsia="Arial" w:hAnsi="Arial" w:cs="Arial"/>
                <w:sz w:val="20"/>
              </w:rPr>
              <w:t xml:space="preserve"> „</w:t>
            </w:r>
            <w:r w:rsidRPr="0056748B">
              <w:rPr>
                <w:rFonts w:ascii="Arial" w:eastAsia="Arial" w:hAnsi="Arial" w:cs="Arial"/>
                <w:i/>
                <w:iCs/>
                <w:sz w:val="20"/>
              </w:rPr>
              <w:t>na výmenu regulačnej energie</w:t>
            </w:r>
            <w:r w:rsidR="00161778" w:rsidRPr="0056748B">
              <w:rPr>
                <w:rFonts w:ascii="Arial" w:eastAsia="Arial" w:hAnsi="Arial" w:cs="Arial"/>
                <w:sz w:val="20"/>
              </w:rPr>
              <w:t>“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3A1AB6A0" w14:textId="59BD6B45" w:rsidR="00606236" w:rsidRPr="0056748B" w:rsidRDefault="009476CD" w:rsidP="00606236">
            <w:pPr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B">
              <w:rPr>
                <w:rFonts w:ascii="Arial" w:hAnsi="Arial" w:cs="Arial"/>
                <w:sz w:val="20"/>
                <w:szCs w:val="20"/>
              </w:rPr>
              <w:t>Akceptovan</w:t>
            </w:r>
            <w:r w:rsidR="0056748B">
              <w:rPr>
                <w:rFonts w:ascii="Arial" w:hAnsi="Arial" w:cs="Arial"/>
                <w:sz w:val="20"/>
                <w:szCs w:val="20"/>
              </w:rPr>
              <w:t>á</w:t>
            </w:r>
          </w:p>
        </w:tc>
      </w:tr>
      <w:tr w:rsidR="00CA165E" w14:paraId="7B1F109A" w14:textId="77777777" w:rsidTr="568C132B">
        <w:trPr>
          <w:trHeight w:val="1802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1CEBC98B" w14:textId="60E68CB3" w:rsidR="00606236" w:rsidRPr="0056748B" w:rsidRDefault="00C571BA" w:rsidP="00606236">
            <w:pPr>
              <w:ind w:right="71"/>
              <w:jc w:val="center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="Arial" w:hAnsi="Arial" w:cs="Arial"/>
                <w:sz w:val="20"/>
              </w:rPr>
              <w:lastRenderedPageBreak/>
              <w:t>2.2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1AECC4DF" w14:textId="769D253B" w:rsidR="00C571BA" w:rsidRPr="0056748B" w:rsidRDefault="00C571BA" w:rsidP="00C571BA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Z nášho pohľadu nie je správne tvrdenie, že v uvedených príkladoch ide o aktiváciu na 1 generátore. Tak ako sú príklady nakreslené a vyhodnotené, ide o 3 rôzne ponuky resp. 3 rôznych BSP. Ak by to bolo na 1 generátore, aktivácia by nemala tvar rovnoramenného lichobežníka ale došlo by k lichobežníkovým schodom na prelome MTU. Prosíme ozrejmiť ako bude vyzerať oceňovanie RE v prípade, ak by to bola aktivácia na 1 generátore viď. obrázok. Bude poskytovateľovi </w:t>
            </w:r>
            <w:proofErr w:type="spellStart"/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PpS</w:t>
            </w:r>
            <w:proofErr w:type="spellEnd"/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uhradená aj plocha označená v rámci grafu zelenou farbou? Bude plocha označená v rámci grafu červenou farbou uhradená raz alebo dvakrát? Akou cenou bude ocenená RE označená v rámci grafu zelenou farbou? Akou cenou bude ocenená RE označená v rámci grafu červenou farbou?</w:t>
            </w:r>
          </w:p>
          <w:p w14:paraId="05AA3648" w14:textId="6E7B7361" w:rsidR="00C571BA" w:rsidRPr="0056748B" w:rsidRDefault="002B6AAD" w:rsidP="568C132B">
            <w:pPr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</w:pPr>
            <w:r w:rsidRPr="0056748B">
              <w:rPr>
                <w:rFonts w:ascii="Arial" w:hAnsi="Arial" w:cs="Arial"/>
              </w:rPr>
              <w:object w:dxaOrig="12442" w:dyaOrig="7867" w14:anchorId="6DF126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pt;height:149.5pt" o:ole="">
                  <v:imagedata r:id="rId10" o:title=""/>
                </v:shape>
                <o:OLEObject Type="Embed" ProgID="PBrush" ShapeID="_x0000_i1025" DrawAspect="Content" ObjectID="_1751178334" r:id="rId11"/>
              </w:object>
            </w:r>
          </w:p>
          <w:p w14:paraId="1C9FADCB" w14:textId="77777777" w:rsidR="00606236" w:rsidRPr="0056748B" w:rsidRDefault="00606236" w:rsidP="00606236">
            <w:pPr>
              <w:ind w:left="1" w:right="6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34DB057C" w14:textId="29AAA2F0" w:rsidR="00606236" w:rsidRPr="0056748B" w:rsidRDefault="00C571BA" w:rsidP="00606236">
            <w:pPr>
              <w:ind w:left="3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Neúplnosť príkladov.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00E2498A" w14:textId="71E023B2" w:rsidR="3EC96F74" w:rsidRDefault="3EC96F74" w:rsidP="3EC96F74">
            <w:pPr>
              <w:jc w:val="both"/>
              <w:rPr>
                <w:rFonts w:ascii="Arial" w:eastAsiaTheme="majorEastAsia" w:hAnsi="Arial" w:cs="Arial"/>
                <w:sz w:val="20"/>
                <w:szCs w:val="20"/>
                <w:lang w:bidi="hi-IN"/>
              </w:rPr>
            </w:pPr>
          </w:p>
          <w:p w14:paraId="7AB17831" w14:textId="04647356" w:rsidR="3EC96F74" w:rsidRDefault="3EC96F74" w:rsidP="3EC96F74">
            <w:pPr>
              <w:jc w:val="both"/>
              <w:rPr>
                <w:rFonts w:ascii="Arial" w:eastAsiaTheme="majorEastAsia" w:hAnsi="Arial" w:cs="Arial"/>
                <w:sz w:val="20"/>
                <w:szCs w:val="20"/>
                <w:lang w:bidi="hi-IN"/>
              </w:rPr>
            </w:pPr>
          </w:p>
          <w:p w14:paraId="1A781CCB" w14:textId="5F6C286B" w:rsidR="00606236" w:rsidRPr="0056748B" w:rsidRDefault="38546361" w:rsidP="3EC96F74">
            <w:pPr>
              <w:jc w:val="both"/>
              <w:rPr>
                <w:rFonts w:ascii="Arial" w:eastAsiaTheme="majorEastAsia" w:hAnsi="Arial" w:cs="Arial"/>
                <w:sz w:val="20"/>
                <w:szCs w:val="20"/>
                <w:lang w:bidi="hi-IN"/>
              </w:rPr>
            </w:pPr>
            <w:r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Oceňovanie bidov (aktivovaný objem podľa CBMP) je riešené samostatne pre každý aktivovaný bid (tzn. samostatne pre lichobežník podľa bidu vo „validity period“ 1 a samostatne pre lichobežník vo „validity period“ 2) v súlade s pravidlami platformy mFRR (viď. postup popísaný v kapitole 4.2.1  dokumentu predloženého na </w:t>
            </w:r>
            <w:r w:rsidR="16DD38F3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verejnú konzultáciu</w:t>
            </w:r>
            <w:r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)</w:t>
            </w:r>
            <w:r w:rsidR="09797E2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. </w:t>
            </w:r>
          </w:p>
          <w:p w14:paraId="1B1B5881" w14:textId="0BCFE8DB" w:rsidR="00606236" w:rsidRPr="0056748B" w:rsidRDefault="09797E2F" w:rsidP="3EC96F74">
            <w:pPr>
              <w:jc w:val="both"/>
              <w:rPr>
                <w:rFonts w:ascii="Arial" w:eastAsiaTheme="majorEastAsia" w:hAnsi="Arial" w:cs="Arial"/>
                <w:sz w:val="20"/>
                <w:szCs w:val="20"/>
                <w:lang w:bidi="hi-IN"/>
              </w:rPr>
            </w:pPr>
            <w:r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Oceňovanie teda nebude realizované tak</w:t>
            </w:r>
            <w:r w:rsidR="38546361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ako je naznačené na predmetnom obrázku</w:t>
            </w:r>
            <w:r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s vyznačenou zelenou a červenou plochou</w:t>
            </w:r>
            <w:r w:rsidR="38546361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,</w:t>
            </w:r>
            <w:r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t.j.</w:t>
            </w:r>
            <w:r w:rsidR="38546361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podľa priebehu aktivovaného výkonu mFRR+ na príslušnom generátore</w:t>
            </w:r>
            <w:r w:rsidR="267C7613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, respektíve </w:t>
            </w:r>
            <w:r w:rsidR="38546361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zariadení.</w:t>
            </w:r>
            <w:r w:rsidR="15EE580C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</w:t>
            </w:r>
            <w:r w:rsidR="01245D0D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Cieľom predmetného obrázka</w:t>
            </w:r>
            <w:r w:rsidR="416E645A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,</w:t>
            </w:r>
            <w:r w:rsidR="369F61AA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</w:t>
            </w:r>
            <w:r w:rsidR="68FB4C35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ktorý bol publikovaný </w:t>
            </w:r>
            <w:r w:rsidR="369F61AA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v rámci konzultácie TP SEPS</w:t>
            </w:r>
            <w:r w:rsidR="01245D0D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bolo primárne uká</w:t>
            </w:r>
            <w:r w:rsidR="2F87265A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zať</w:t>
            </w:r>
            <w:r w:rsidR="01245D0D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</w:t>
            </w:r>
            <w:r w:rsidR="01245D0D" w:rsidRPr="3EC96F74">
              <w:rPr>
                <w:rFonts w:ascii="Arial" w:eastAsiaTheme="majorEastAsia" w:hAnsi="Arial" w:cs="Arial"/>
                <w:sz w:val="20"/>
                <w:szCs w:val="20"/>
                <w:lang w:bidi="hi-IN"/>
              </w:rPr>
              <w:t>priebeh ideálneho výkonu pre potreby certifikácie na 1 generátore</w:t>
            </w:r>
            <w:r w:rsidR="05834C72" w:rsidRPr="3EC96F74">
              <w:rPr>
                <w:rFonts w:ascii="Arial" w:eastAsiaTheme="majorEastAsia" w:hAnsi="Arial" w:cs="Arial"/>
                <w:sz w:val="20"/>
                <w:szCs w:val="20"/>
                <w:lang w:bidi="hi-IN"/>
              </w:rPr>
              <w:t>, respektíve zariadení</w:t>
            </w:r>
            <w:r w:rsidR="01245D0D" w:rsidRPr="3EC96F74">
              <w:rPr>
                <w:rFonts w:ascii="Arial" w:eastAsiaTheme="majorEastAsia" w:hAnsi="Arial" w:cs="Arial"/>
                <w:sz w:val="20"/>
                <w:szCs w:val="20"/>
                <w:lang w:bidi="hi-IN"/>
              </w:rPr>
              <w:t xml:space="preserve"> pri zmene veľkosti aktivácie.</w:t>
            </w:r>
          </w:p>
          <w:p w14:paraId="516E3D7D" w14:textId="444BCB3E" w:rsidR="00606236" w:rsidRPr="0056748B" w:rsidRDefault="00606236" w:rsidP="3EC96F74">
            <w:pPr>
              <w:jc w:val="both"/>
              <w:rPr>
                <w:rFonts w:ascii="Arial" w:eastAsiaTheme="majorEastAsia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0D39BD47" w14:textId="10989C89" w:rsidR="00606236" w:rsidRDefault="0056748B" w:rsidP="00606236">
            <w:pPr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Neakceptovaná</w:t>
            </w:r>
          </w:p>
        </w:tc>
      </w:tr>
      <w:tr w:rsidR="00CA165E" w14:paraId="6AFFEFF4" w14:textId="77777777" w:rsidTr="568C132B">
        <w:trPr>
          <w:trHeight w:val="1802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4B631981" w14:textId="4D8FF63E" w:rsidR="00606236" w:rsidRPr="0056748B" w:rsidRDefault="00C571BA" w:rsidP="00606236">
            <w:pPr>
              <w:ind w:right="71"/>
              <w:jc w:val="center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="Arial" w:hAnsi="Arial" w:cs="Arial"/>
                <w:sz w:val="20"/>
              </w:rPr>
              <w:lastRenderedPageBreak/>
              <w:t>2.2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42E502FF" w14:textId="77777777" w:rsidR="00C571BA" w:rsidRPr="0056748B" w:rsidRDefault="00C571BA" w:rsidP="00C571BA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Chýba príklad kombinácie aktivácie SA a DA, ktorý by ozrejmil navýšenie ceny DA v prípade ak bola SA aktivácia s väčšou cenou ako DA viď. Obrázok č.1.</w:t>
            </w:r>
          </w:p>
          <w:p w14:paraId="33D63B3D" w14:textId="66B0B738" w:rsidR="00606236" w:rsidRPr="0056748B" w:rsidRDefault="00C571BA" w:rsidP="00C571BA">
            <w:pPr>
              <w:ind w:left="1" w:right="68"/>
              <w:jc w:val="both"/>
              <w:rPr>
                <w:rFonts w:ascii="Arial" w:hAnsi="Arial" w:cs="Arial"/>
                <w:sz w:val="20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Taktiež by bolo vhodné uviesť aspoň jednu kombináciu kladnej a zápornej aktivácie.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3CAB50AD" w14:textId="5C32E55A" w:rsidR="00606236" w:rsidRPr="0056748B" w:rsidRDefault="00C571BA" w:rsidP="00606236">
            <w:pPr>
              <w:ind w:left="3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Neúplnosť príkladov.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6E09ABDB" w14:textId="41748D85" w:rsidR="00825EF9" w:rsidRPr="0056748B" w:rsidRDefault="43C2AFEB" w:rsidP="3EC96F74">
            <w:pPr>
              <w:jc w:val="both"/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</w:pPr>
            <w:r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P</w:t>
            </w:r>
            <w:r w:rsidR="3C00525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rincíp oceňovania platformy MARI je uvedený v</w:t>
            </w:r>
            <w:r w:rsidR="6B5D39E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 </w:t>
            </w:r>
            <w:r w:rsidR="3C00525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kap</w:t>
            </w:r>
            <w:r w:rsidR="6B5D39E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itole </w:t>
            </w:r>
            <w:r w:rsidR="3C00525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2.1.1.3.</w:t>
            </w:r>
            <w:r w:rsidR="6B5D39E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 xml:space="preserve"> v rámci dokumentu predloženého na verejnú konzultáciu. </w:t>
            </w:r>
            <w:r w:rsidR="3C00525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Obrázok 1. v predmetnej kapitole má iba ilustračný charakter</w:t>
            </w:r>
            <w:r w:rsidR="551B1F1F" w:rsidRPr="3EC96F74">
              <w:rPr>
                <w:rFonts w:ascii="Arial" w:eastAsiaTheme="majorEastAsia" w:hAnsi="Arial" w:cs="Arial"/>
                <w:sz w:val="20"/>
                <w:szCs w:val="20"/>
                <w:lang w:bidi="hi-IN"/>
                <w14:ligatures w14:val="standard"/>
              </w:rPr>
              <w:t>.</w:t>
            </w:r>
          </w:p>
          <w:p w14:paraId="5F4868AE" w14:textId="6BF4EDF5" w:rsidR="00314E94" w:rsidRPr="0056748B" w:rsidRDefault="00825EF9" w:rsidP="00314E94">
            <w:pPr>
              <w:numPr>
                <w:ilvl w:val="1"/>
                <w:numId w:val="0"/>
              </w:numPr>
              <w:jc w:val="both"/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Vzorové výpočty zúčtovacej ceny pre SA a zúčtovacích cien pre DA sú uvedené pod obrázkom 1 v kapitole 2.1.1.3.</w:t>
            </w:r>
            <w:r w:rsidR="00314E94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</w:t>
            </w:r>
          </w:p>
          <w:p w14:paraId="1342DB8F" w14:textId="298F0FC5" w:rsidR="00606236" w:rsidRPr="0056748B" w:rsidRDefault="00314E94" w:rsidP="00314E94">
            <w:pPr>
              <w:numPr>
                <w:ilvl w:val="1"/>
                <w:numId w:val="0"/>
              </w:numPr>
              <w:jc w:val="both"/>
              <w:rPr>
                <w:rFonts w:ascii="Arial" w:eastAsiaTheme="majorEastAsia" w:hAnsi="Arial" w:cs="Arial"/>
                <w:iCs/>
                <w:color w:val="FF0000"/>
                <w:sz w:val="20"/>
                <w:lang w:bidi="hi-IN"/>
                <w14:ligatures w14:val="standard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P</w:t>
            </w:r>
            <w:r w:rsidR="00825EF9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ríklad</w:t>
            </w:r>
            <w:r w:rsidR="00DA0F1D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vyššej ceny SA ako DA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:</w:t>
            </w:r>
            <w:r w:rsidR="00825EF9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A</w:t>
            </w:r>
            <w:r w:rsidR="00825EF9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k by cena za SA bola napr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íklad</w:t>
            </w:r>
            <w:r w:rsidR="00825EF9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15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€/MWh</w:t>
            </w:r>
            <w:r w:rsidR="00307DDA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v MTU-1</w:t>
            </w:r>
            <w:r w:rsidR="00825EF9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(nie 6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€/MWh</w:t>
            </w:r>
            <w:r w:rsidR="00307DDA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ako je vyznačené v rámci obr.1</w:t>
            </w:r>
            <w:r w:rsidR="00825EF9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) výsledná zúčtovacia cena sa dá odvodiť 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dosadením </w:t>
            </w:r>
            <w:r w:rsidR="00307DDA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do</w:t>
            </w:r>
            <w:r w:rsidR="00825EF9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 </w:t>
            </w:r>
            <w:r w:rsidR="00307DDA"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príslušných vzorcov vzorového výpočtu. V takom prípade výsledok vzorového výpočtu 1. je 15 €/MWh, vzorového výpočtu 2. je 15 €/MWh a vzorového výpočtu 4. je -9 €/MWh. 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06EDC735" w14:textId="5552D31E" w:rsidR="00606236" w:rsidRDefault="0056748B" w:rsidP="00606236">
            <w:pPr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Neakceptovaná</w:t>
            </w:r>
          </w:p>
        </w:tc>
      </w:tr>
      <w:tr w:rsidR="0056748B" w14:paraId="7ECDAB23" w14:textId="77777777" w:rsidTr="568C132B">
        <w:trPr>
          <w:trHeight w:val="1802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64542BA5" w14:textId="668B27B8" w:rsidR="0056748B" w:rsidRPr="0056748B" w:rsidRDefault="0056748B" w:rsidP="0056748B">
            <w:pPr>
              <w:ind w:right="71"/>
              <w:jc w:val="center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="Arial" w:hAnsi="Arial" w:cs="Arial"/>
                <w:sz w:val="20"/>
              </w:rPr>
              <w:t>3.1.6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0C1B4E6F" w14:textId="0BC3B308" w:rsidR="0056748B" w:rsidRPr="0056748B" w:rsidRDefault="0056748B" w:rsidP="0056748B">
            <w:pPr>
              <w:ind w:left="1" w:right="68"/>
              <w:jc w:val="both"/>
              <w:rPr>
                <w:rFonts w:ascii="Arial" w:hAnsi="Arial" w:cs="Arial"/>
                <w:sz w:val="20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Je navrhované riešenie oceňovania RE aplikované len pre SR alebo ide o harmonizované riešenie naprieč EÚ? Do akej miery je navrhované riešenie oceňovania RE harmonizované?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0E9CA49C" w14:textId="1001215B" w:rsidR="0056748B" w:rsidRPr="0056748B" w:rsidRDefault="0056748B" w:rsidP="0056748B">
            <w:pPr>
              <w:ind w:left="3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Z textu nie je jasné do akej miery je slovenské riešenie špecifikom.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300BDDB2" w14:textId="293807EB" w:rsidR="0056748B" w:rsidRPr="0056748B" w:rsidRDefault="0056748B" w:rsidP="0056748B">
            <w:pPr>
              <w:pStyle w:val="Default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sk-SK"/>
              </w:rPr>
            </w:pPr>
            <w:r w:rsidRPr="0056748B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Kapitola 3.1.6 pojednáva o </w:t>
            </w:r>
            <w:r w:rsidRPr="0056748B">
              <w:rPr>
                <w:rFonts w:ascii="Arial" w:eastAsiaTheme="minorEastAsia" w:hAnsi="Arial" w:cs="Arial"/>
                <w:color w:val="auto"/>
                <w:sz w:val="20"/>
                <w:szCs w:val="20"/>
                <w:lang w:val="sk-SK"/>
              </w:rPr>
              <w:t>návrhu riešenia pre ocenenie dodanej RE poskytovateľmi PpS pre 4-sekundovú MTU v režime connected. Do predmetnej kapitoly bude pridaný nasledovný text:</w:t>
            </w:r>
          </w:p>
          <w:p w14:paraId="343E2085" w14:textId="77777777" w:rsidR="0056748B" w:rsidRPr="0056748B" w:rsidRDefault="0056748B" w:rsidP="0056748B">
            <w:pPr>
              <w:pStyle w:val="Default"/>
              <w:jc w:val="both"/>
              <w:rPr>
                <w:rFonts w:ascii="Arial" w:eastAsiaTheme="minorEastAsia" w:hAnsi="Arial" w:cs="Arial"/>
                <w:i/>
                <w:iCs/>
                <w:color w:val="auto"/>
                <w:sz w:val="20"/>
                <w:szCs w:val="20"/>
              </w:rPr>
            </w:pPr>
          </w:p>
          <w:p w14:paraId="15705A73" w14:textId="4E726010" w:rsidR="0056748B" w:rsidRPr="0056748B" w:rsidRDefault="0056748B" w:rsidP="0056748B">
            <w:pPr>
              <w:pStyle w:val="Default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6748B">
              <w:rPr>
                <w:rFonts w:ascii="Arial" w:eastAsiaTheme="minorEastAsia" w:hAnsi="Arial" w:cs="Arial"/>
                <w:i/>
                <w:iCs/>
                <w:color w:val="auto"/>
                <w:sz w:val="20"/>
                <w:szCs w:val="20"/>
              </w:rPr>
              <w:t>V</w:t>
            </w:r>
            <w:r w:rsidRPr="0056748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súlade s technickým a procesným riešením platformy aFRR nie sú z objektívnych príčin procesy TSO-BSP plne harmonizované.</w:t>
            </w:r>
          </w:p>
          <w:p w14:paraId="573FC7E4" w14:textId="77777777" w:rsidR="0056748B" w:rsidRPr="0056748B" w:rsidRDefault="0056748B" w:rsidP="0056748B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3B9AFC6" w14:textId="439571E9" w:rsidR="0056748B" w:rsidRPr="0056748B" w:rsidRDefault="0056748B" w:rsidP="0056748B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Hlavnými dôvodmi pre neharmonizované prístupy sú najmä: </w:t>
            </w:r>
          </w:p>
          <w:p w14:paraId="58C9C67E" w14:textId="77777777" w:rsidR="0056748B" w:rsidRPr="0056748B" w:rsidRDefault="0056748B" w:rsidP="0056748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5991A31" w14:textId="10CB08D7" w:rsidR="0056748B" w:rsidRPr="0056748B" w:rsidRDefault="0056748B" w:rsidP="0056748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1. Nariadenie Komisie (EÚ) 2017/2195 z 23. novembra 2017, ktorým sa stanovuje usmernenie o zabezpečovaní rovnováhy v </w:t>
            </w:r>
            <w:r w:rsidRPr="0056748B">
              <w:rPr>
                <w:rFonts w:ascii="Arial" w:eastAsia="Arial" w:hAnsi="Arial" w:cs="Arial"/>
                <w:i/>
                <w:iCs/>
                <w:sz w:val="20"/>
                <w:szCs w:val="20"/>
              </w:rPr>
              <w:lastRenderedPageBreak/>
              <w:t>elektrizačnej sústave nevyžaduje harmonizáciu zúčtovania TSO-BSP;</w:t>
            </w:r>
          </w:p>
          <w:p w14:paraId="43316C0E" w14:textId="77777777" w:rsidR="0056748B" w:rsidRPr="0056748B" w:rsidRDefault="0056748B" w:rsidP="0056748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1D8EACC9" w14:textId="648C5984" w:rsidR="0056748B" w:rsidRPr="0056748B" w:rsidRDefault="0056748B" w:rsidP="0056748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2. Rozdielne aktivačné stratégie - TSO v rámci PICASSO využívajú rozdielne „lokálne“ stratégie aktivácie služby aFRR;</w:t>
            </w:r>
          </w:p>
          <w:p w14:paraId="2E5E65DE" w14:textId="77777777" w:rsidR="0056748B" w:rsidRPr="0056748B" w:rsidRDefault="0056748B" w:rsidP="0056748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1780F2DE" w14:textId="7B0C3D0A" w:rsidR="0056748B" w:rsidRPr="0056748B" w:rsidRDefault="0056748B" w:rsidP="0056748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3. Rozdielne „lokálne“ prístupy TSO pri vyhodnotení objemov aktivovanej aFRR.</w:t>
            </w:r>
          </w:p>
          <w:p w14:paraId="2A63B590" w14:textId="5A0B1C57" w:rsidR="0056748B" w:rsidRPr="0056748B" w:rsidRDefault="0056748B" w:rsidP="0056748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vAlign w:val="center"/>
          </w:tcPr>
          <w:p w14:paraId="4E391454" w14:textId="35419AE8" w:rsidR="0056748B" w:rsidRDefault="0056748B" w:rsidP="0056748B">
            <w:pPr>
              <w:ind w:right="66"/>
            </w:pPr>
            <w: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lastRenderedPageBreak/>
              <w:t>A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kceptovaná</w:t>
            </w:r>
          </w:p>
        </w:tc>
      </w:tr>
      <w:tr w:rsidR="0056748B" w14:paraId="0AD8EB07" w14:textId="77777777" w:rsidTr="568C132B">
        <w:trPr>
          <w:trHeight w:val="1802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vAlign w:val="center"/>
          </w:tcPr>
          <w:p w14:paraId="4692CC43" w14:textId="794EF3E2" w:rsidR="0056748B" w:rsidRPr="0056748B" w:rsidRDefault="0056748B" w:rsidP="0056748B">
            <w:pPr>
              <w:ind w:right="71"/>
              <w:jc w:val="center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="Arial" w:hAnsi="Arial" w:cs="Arial"/>
                <w:sz w:val="20"/>
              </w:rPr>
              <w:t>4.2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</w:tcPr>
          <w:p w14:paraId="08B3129D" w14:textId="4863C3B4" w:rsidR="0056748B" w:rsidRPr="0056748B" w:rsidRDefault="0056748B" w:rsidP="0056748B">
            <w:pPr>
              <w:ind w:left="1" w:right="68"/>
              <w:jc w:val="both"/>
              <w:rPr>
                <w:rFonts w:ascii="Arial" w:hAnsi="Arial" w:cs="Arial"/>
                <w:sz w:val="20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Odporúčame pojmy „</w:t>
            </w:r>
            <w:r w:rsidRPr="0056748B">
              <w:rPr>
                <w:rFonts w:ascii="Arial" w:eastAsiaTheme="majorEastAsia" w:hAnsi="Arial" w:cs="Arial"/>
                <w:i/>
                <w:sz w:val="20"/>
                <w:lang w:bidi="hi-IN"/>
                <w14:ligatures w14:val="standard"/>
              </w:rPr>
              <w:t>Cena systémovej odchýlky“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resp. </w:t>
            </w:r>
            <w:r w:rsidRPr="0056748B">
              <w:rPr>
                <w:rFonts w:ascii="Arial" w:eastAsiaTheme="majorEastAsia" w:hAnsi="Arial" w:cs="Arial"/>
                <w:i/>
                <w:sz w:val="20"/>
                <w:lang w:bidi="hi-IN"/>
                <w14:ligatures w14:val="standard"/>
              </w:rPr>
              <w:t>„Zúčtovacia cena systémovej odchýlky“</w:t>
            </w: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 nahradiť pojmom „Zúčtovacia cena odchýlky“.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</w:tcPr>
          <w:p w14:paraId="58DDD691" w14:textId="5380C0E2" w:rsidR="0056748B" w:rsidRPr="0056748B" w:rsidRDefault="0056748B" w:rsidP="0056748B">
            <w:pPr>
              <w:ind w:left="3"/>
              <w:rPr>
                <w:rFonts w:ascii="Arial" w:eastAsia="Arial" w:hAnsi="Arial" w:cs="Arial"/>
                <w:sz w:val="20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Zjednotenie pojmov s legislatívou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</w:tcPr>
          <w:p w14:paraId="130960AF" w14:textId="77777777" w:rsidR="0056748B" w:rsidRPr="0056748B" w:rsidRDefault="0056748B" w:rsidP="005674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F2F6E3F" w14:textId="1B1508DA" w:rsidR="0056748B" w:rsidRPr="0056748B" w:rsidRDefault="0056748B" w:rsidP="0056748B">
            <w:pPr>
              <w:numPr>
                <w:ilvl w:val="1"/>
                <w:numId w:val="0"/>
              </w:numPr>
              <w:jc w:val="both"/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V rámci kapitoly 4.2.2 je popísaný návrh zaviesť nový postup s ktorým je spojené aj zavedenie nových pojmov „Cena systémovej odchýlky“ a „Zúčtovacia cena odchýlky“. Predpokladom zavedenia týchto pojmov je aj úprava dotknutej legislatívy.  </w:t>
            </w:r>
          </w:p>
          <w:p w14:paraId="517D6818" w14:textId="5473E8CA" w:rsidR="0056748B" w:rsidRPr="0056748B" w:rsidRDefault="0056748B" w:rsidP="0056748B">
            <w:pPr>
              <w:ind w:right="66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vAlign w:val="center"/>
          </w:tcPr>
          <w:p w14:paraId="530F3E61" w14:textId="473FB432" w:rsidR="0056748B" w:rsidRPr="0056748B" w:rsidRDefault="0056748B" w:rsidP="0056748B">
            <w:pPr>
              <w:numPr>
                <w:ilvl w:val="1"/>
                <w:numId w:val="0"/>
              </w:numPr>
              <w:jc w:val="both"/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  <w:r w:rsidRPr="0056748B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Neakceptovaná</w:t>
            </w:r>
          </w:p>
        </w:tc>
      </w:tr>
    </w:tbl>
    <w:p w14:paraId="414C3D05" w14:textId="77777777" w:rsidR="002B6AAD" w:rsidRDefault="002B6AAD">
      <w:pPr>
        <w:spacing w:after="0"/>
        <w:ind w:left="1836"/>
        <w:jc w:val="both"/>
      </w:pPr>
    </w:p>
    <w:p w14:paraId="567A05BA" w14:textId="28E92E9D" w:rsidR="002B6AAD" w:rsidRDefault="002B6AAD" w:rsidP="002B6AAD">
      <w:pPr>
        <w:spacing w:after="0"/>
        <w:jc w:val="both"/>
      </w:pPr>
    </w:p>
    <w:p w14:paraId="14AE14B4" w14:textId="755D04CB" w:rsidR="0056748B" w:rsidRDefault="0056748B" w:rsidP="002B6AAD">
      <w:pPr>
        <w:spacing w:after="0"/>
        <w:jc w:val="both"/>
      </w:pPr>
    </w:p>
    <w:p w14:paraId="0C8DE3EC" w14:textId="3A6D9818" w:rsidR="0056748B" w:rsidRDefault="0056748B" w:rsidP="002B6AAD">
      <w:pPr>
        <w:spacing w:after="0"/>
        <w:jc w:val="both"/>
      </w:pPr>
    </w:p>
    <w:p w14:paraId="1970B5E0" w14:textId="011ABBF5" w:rsidR="0056748B" w:rsidRDefault="0056748B" w:rsidP="002B6AAD">
      <w:pPr>
        <w:spacing w:after="0"/>
        <w:jc w:val="both"/>
      </w:pPr>
    </w:p>
    <w:p w14:paraId="79A94878" w14:textId="6E4E12B6" w:rsidR="006F14A4" w:rsidRDefault="006F14A4" w:rsidP="002B6AAD">
      <w:pPr>
        <w:spacing w:after="0"/>
        <w:jc w:val="both"/>
      </w:pPr>
    </w:p>
    <w:p w14:paraId="4430C3E2" w14:textId="77777777" w:rsidR="006F14A4" w:rsidRDefault="006F14A4" w:rsidP="002B6AAD">
      <w:pPr>
        <w:spacing w:after="0"/>
        <w:jc w:val="both"/>
      </w:pPr>
    </w:p>
    <w:p w14:paraId="3B276C74" w14:textId="72787F78" w:rsidR="002B6AAD" w:rsidRDefault="002B6AAD" w:rsidP="002B6AAD">
      <w:pPr>
        <w:spacing w:after="0"/>
        <w:jc w:val="both"/>
      </w:pPr>
    </w:p>
    <w:p w14:paraId="13BF1CED" w14:textId="77777777" w:rsidR="002B6AAD" w:rsidRDefault="002B6AAD" w:rsidP="002B6AAD">
      <w:pPr>
        <w:spacing w:after="0"/>
        <w:jc w:val="both"/>
      </w:pPr>
    </w:p>
    <w:p w14:paraId="500A3642" w14:textId="32D06C9A" w:rsidR="002B6AAD" w:rsidRDefault="002B6AAD">
      <w:pPr>
        <w:spacing w:after="0"/>
        <w:ind w:left="1836"/>
        <w:jc w:val="both"/>
      </w:pPr>
    </w:p>
    <w:tbl>
      <w:tblPr>
        <w:tblStyle w:val="Mriekatabuky1"/>
        <w:tblW w:w="13870" w:type="dxa"/>
        <w:tblInd w:w="-131" w:type="dxa"/>
        <w:tblCellMar>
          <w:top w:w="1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1425"/>
        <w:gridCol w:w="4640"/>
        <w:gridCol w:w="2101"/>
        <w:gridCol w:w="4098"/>
        <w:gridCol w:w="1606"/>
      </w:tblGrid>
      <w:tr w:rsidR="00131BBD" w14:paraId="10C41055" w14:textId="77777777" w:rsidTr="568C132B">
        <w:trPr>
          <w:trHeight w:val="500"/>
        </w:trPr>
        <w:tc>
          <w:tcPr>
            <w:tcW w:w="8166" w:type="dxa"/>
            <w:gridSpan w:val="3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  <w:shd w:val="clear" w:color="auto" w:fill="A8D08D" w:themeFill="accent6" w:themeFillTint="99"/>
          </w:tcPr>
          <w:p w14:paraId="021E5E01" w14:textId="77777777" w:rsidR="00131BBD" w:rsidRDefault="00CA165E">
            <w:r>
              <w:rPr>
                <w:rFonts w:ascii="Arial" w:eastAsia="Arial" w:hAnsi="Arial" w:cs="Arial"/>
                <w:b/>
                <w:sz w:val="20"/>
              </w:rPr>
              <w:lastRenderedPageBreak/>
              <w:t>Názov a adresa pripomienkujúceho subjektu: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21CFD" w:rsidRPr="00E21CFD">
              <w:rPr>
                <w:rFonts w:ascii="Arial" w:eastAsia="Arial" w:hAnsi="Arial" w:cs="Arial"/>
                <w:sz w:val="20"/>
              </w:rPr>
              <w:t>Slovenské elektrárne, a.s.</w:t>
            </w:r>
            <w:r w:rsidR="00E21CFD">
              <w:rPr>
                <w:rFonts w:ascii="Arial" w:eastAsia="Arial" w:hAnsi="Arial" w:cs="Arial"/>
                <w:sz w:val="20"/>
              </w:rPr>
              <w:t xml:space="preserve">, </w:t>
            </w:r>
            <w:r w:rsidR="00E21CFD" w:rsidRPr="00E21CFD">
              <w:rPr>
                <w:rFonts w:ascii="Arial" w:eastAsia="Arial" w:hAnsi="Arial" w:cs="Arial"/>
                <w:sz w:val="20"/>
              </w:rPr>
              <w:t>Mlynské nivy 47,821 09 Bratislava</w:t>
            </w:r>
          </w:p>
        </w:tc>
        <w:tc>
          <w:tcPr>
            <w:tcW w:w="5704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000000" w:themeColor="text1"/>
              <w:right w:val="single" w:sz="4" w:space="0" w:color="806000" w:themeColor="accent4" w:themeShade="80"/>
            </w:tcBorders>
          </w:tcPr>
          <w:p w14:paraId="62091052" w14:textId="77777777" w:rsidR="00131BBD" w:rsidRDefault="00CA165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2463" w14:paraId="5A3B5A67" w14:textId="77777777" w:rsidTr="568C132B">
        <w:trPr>
          <w:trHeight w:val="738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4CB33EA1" w14:textId="77777777" w:rsidR="00131BBD" w:rsidRDefault="00CA165E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Kap. ods.  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137697B5" w14:textId="77777777" w:rsidR="00131BBD" w:rsidRDefault="00CA165E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Znenie pripomienky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47A6BFD6" w14:textId="77777777" w:rsidR="00131BBD" w:rsidRDefault="00CA165E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Odôvodnenie pripomienky 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631A60B6" w14:textId="77777777" w:rsidR="00131BBD" w:rsidRDefault="00CA165E">
            <w:pPr>
              <w:ind w:right="57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Odpoveď SEPS 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</w:tcPr>
          <w:p w14:paraId="05FD1C82" w14:textId="77777777" w:rsidR="00131BBD" w:rsidRDefault="00CA165E">
            <w:pPr>
              <w:ind w:left="68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Zapracovanie  </w:t>
            </w:r>
          </w:p>
        </w:tc>
      </w:tr>
      <w:tr w:rsidR="00131BBD" w14:paraId="6C414CAA" w14:textId="77777777" w:rsidTr="568C132B">
        <w:trPr>
          <w:trHeight w:val="4483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vAlign w:val="center"/>
          </w:tcPr>
          <w:p w14:paraId="3207FD95" w14:textId="54C9A321" w:rsidR="00131BBD" w:rsidRPr="0056748B" w:rsidRDefault="002B6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sz w:val="20"/>
                <w:szCs w:val="20"/>
              </w:rPr>
              <w:t xml:space="preserve">Všeobecná pripomienka 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</w:tcPr>
          <w:p w14:paraId="779800A3" w14:textId="565435F7" w:rsidR="00131BBD" w:rsidRPr="0056748B" w:rsidRDefault="002B6AAD">
            <w:pPr>
              <w:ind w:left="1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sz w:val="20"/>
                <w:szCs w:val="20"/>
              </w:rPr>
              <w:t>Požadujeme zachovať online zverejňovanie regulačného výkonu aktivovaného pre účely vybilancovania ES SR a samostatne pre potreby zahraničia.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</w:tcPr>
          <w:p w14:paraId="1D5D604F" w14:textId="1FC7FE60" w:rsidR="00131BBD" w:rsidRPr="0056748B" w:rsidRDefault="002B6AAD">
            <w:pPr>
              <w:ind w:left="1"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8B">
              <w:rPr>
                <w:rFonts w:ascii="Arial" w:hAnsi="Arial" w:cs="Arial"/>
                <w:sz w:val="20"/>
                <w:szCs w:val="20"/>
              </w:rPr>
              <w:t>Z dôvodu potreby efektívneho riadenia zdrojov.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</w:tcPr>
          <w:p w14:paraId="138D767B" w14:textId="6AD63AD5" w:rsidR="00131BBD" w:rsidRPr="0056748B" w:rsidRDefault="3BA29B22">
            <w:pPr>
              <w:ind w:left="2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68C132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Po </w:t>
            </w:r>
            <w:r w:rsidR="2DEDFB5E" w:rsidRPr="568C132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pripojení k platformám aFRR a mFRR</w:t>
            </w:r>
            <w:r w:rsidRPr="568C132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SEPS neplánuje zverejňovať aktuálne hodnoty aktivovaného regulačného výkonu pre účely vybilancovania ES SR a samostatne pre potreby zahraničia. Pre efektívne riadenie zdrojov SEPS plánuje zverejňovať hodnoty systémovej odchýlky v 15 min rozlíšení prostredníctvom TP ENTSO-E a prípadne aj</w:t>
            </w:r>
            <w:r w:rsidR="0E8E732E" w:rsidRPr="568C132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568C132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webového sídla</w:t>
            </w:r>
            <w:r w:rsidR="0E8E732E" w:rsidRPr="568C132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SEPS</w:t>
            </w:r>
            <w:r w:rsidRPr="568C132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najneskôr 30 minút po danej 15 min perióde.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vAlign w:val="center"/>
          </w:tcPr>
          <w:p w14:paraId="35071870" w14:textId="08A63DDC" w:rsidR="00131BBD" w:rsidRPr="0056748B" w:rsidRDefault="00161778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B">
              <w:rPr>
                <w:rFonts w:ascii="Arial" w:eastAsia="Arial" w:hAnsi="Arial" w:cs="Arial"/>
                <w:sz w:val="20"/>
                <w:szCs w:val="20"/>
              </w:rPr>
              <w:t>Neakceptovaná – navrhnutý alternatívny postup</w:t>
            </w:r>
            <w:r w:rsidR="00CA165E" w:rsidRPr="005674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26F6A4" w14:textId="77777777" w:rsidR="00131BBD" w:rsidRDefault="00CA165E">
      <w:pPr>
        <w:spacing w:after="0"/>
        <w:ind w:right="12072"/>
        <w:jc w:val="right"/>
      </w:pPr>
      <w:r>
        <w:t xml:space="preserve"> </w:t>
      </w:r>
    </w:p>
    <w:p w14:paraId="59684AE2" w14:textId="77777777" w:rsidR="00131BBD" w:rsidRDefault="00CA165E">
      <w:pPr>
        <w:spacing w:after="0"/>
        <w:ind w:left="-137"/>
      </w:pPr>
      <w:r>
        <w:rPr>
          <w:rFonts w:ascii="Arial" w:eastAsia="Arial" w:hAnsi="Arial" w:cs="Arial"/>
          <w:sz w:val="24"/>
        </w:rPr>
        <w:t xml:space="preserve"> </w:t>
      </w:r>
    </w:p>
    <w:sectPr w:rsidR="00131B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1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30FB" w14:textId="77777777" w:rsidR="00D813A8" w:rsidRDefault="00D813A8">
      <w:pPr>
        <w:spacing w:after="0" w:line="240" w:lineRule="auto"/>
      </w:pPr>
      <w:r>
        <w:separator/>
      </w:r>
    </w:p>
  </w:endnote>
  <w:endnote w:type="continuationSeparator" w:id="0">
    <w:p w14:paraId="583812C2" w14:textId="77777777" w:rsidR="00D813A8" w:rsidRDefault="00D8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93A" w14:textId="77777777" w:rsidR="00131BBD" w:rsidRDefault="00CA165E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675416" wp14:editId="2411BF43">
              <wp:simplePos x="0" y="0"/>
              <wp:positionH relativeFrom="page">
                <wp:posOffset>803275</wp:posOffset>
              </wp:positionH>
              <wp:positionV relativeFrom="page">
                <wp:posOffset>6749606</wp:posOffset>
              </wp:positionV>
              <wp:extent cx="8759825" cy="26670"/>
              <wp:effectExtent l="0" t="0" r="0" b="0"/>
              <wp:wrapSquare wrapText="bothSides"/>
              <wp:docPr id="4963" name="Group 4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59825" cy="26670"/>
                        <a:chOff x="0" y="0"/>
                        <a:chExt cx="8759825" cy="26670"/>
                      </a:xfrm>
                    </wpg:grpSpPr>
                    <wps:wsp>
                      <wps:cNvPr id="4964" name="Shape 4964"/>
                      <wps:cNvSpPr/>
                      <wps:spPr>
                        <a:xfrm>
                          <a:off x="0" y="0"/>
                          <a:ext cx="8759825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825" h="26670">
                              <a:moveTo>
                                <a:pt x="0" y="0"/>
                              </a:moveTo>
                              <a:lnTo>
                                <a:pt x="8759825" y="2667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2C2197D5">
            <v:group id="Group 4963" style="width:689.75pt;height:2.09998pt;position:absolute;mso-position-horizontal-relative:page;mso-position-horizontal:absolute;margin-left:63.25pt;mso-position-vertical-relative:page;margin-top:531.465pt;" coordsize="87598,266">
              <v:shape id="Shape 4964" style="position:absolute;width:87598;height:266;left:0;top:0;" coordsize="8759825,26670" path="m0,0l8759825,26670">
                <v:stroke on="true" weight="0.5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z </w:t>
    </w:r>
    <w:fldSimple w:instr="NUMPAGES   \* MERGEFORMAT">
      <w:r>
        <w:rPr>
          <w:i/>
          <w:sz w:val="20"/>
        </w:rPr>
        <w:t>3</w:t>
      </w:r>
    </w:fldSimple>
    <w:r>
      <w:rPr>
        <w:i/>
        <w:sz w:val="20"/>
      </w:rPr>
      <w:t xml:space="preserve"> </w:t>
    </w:r>
  </w:p>
  <w:p w14:paraId="098A462B" w14:textId="77777777" w:rsidR="00131BBD" w:rsidRDefault="00CA165E">
    <w:pPr>
      <w:spacing w:after="0"/>
      <w:ind w:left="-137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0958" w14:textId="77777777" w:rsidR="00131BBD" w:rsidRDefault="00CA165E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E33D23" wp14:editId="43AD52B6">
              <wp:simplePos x="0" y="0"/>
              <wp:positionH relativeFrom="page">
                <wp:posOffset>803275</wp:posOffset>
              </wp:positionH>
              <wp:positionV relativeFrom="page">
                <wp:posOffset>6749606</wp:posOffset>
              </wp:positionV>
              <wp:extent cx="8759825" cy="26670"/>
              <wp:effectExtent l="0" t="0" r="0" b="0"/>
              <wp:wrapSquare wrapText="bothSides"/>
              <wp:docPr id="4927" name="Group 4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59825" cy="26670"/>
                        <a:chOff x="0" y="0"/>
                        <a:chExt cx="8759825" cy="26670"/>
                      </a:xfrm>
                    </wpg:grpSpPr>
                    <wps:wsp>
                      <wps:cNvPr id="4928" name="Shape 4928"/>
                      <wps:cNvSpPr/>
                      <wps:spPr>
                        <a:xfrm>
                          <a:off x="0" y="0"/>
                          <a:ext cx="8759825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825" h="26670">
                              <a:moveTo>
                                <a:pt x="0" y="0"/>
                              </a:moveTo>
                              <a:lnTo>
                                <a:pt x="8759825" y="2667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F4124D8">
            <v:group id="Group 4927" style="width:689.75pt;height:2.09998pt;position:absolute;mso-position-horizontal-relative:page;mso-position-horizontal:absolute;margin-left:63.25pt;mso-position-vertical-relative:page;margin-top:531.465pt;" coordsize="87598,266">
              <v:shape id="Shape 4928" style="position:absolute;width:87598;height:266;left:0;top:0;" coordsize="8759825,26670" path="m0,0l8759825,26670">
                <v:stroke on="true" weight="0.5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z </w:t>
    </w:r>
    <w:fldSimple w:instr="NUMPAGES   \* MERGEFORMAT">
      <w:r>
        <w:rPr>
          <w:i/>
          <w:sz w:val="20"/>
        </w:rPr>
        <w:t>3</w:t>
      </w:r>
    </w:fldSimple>
    <w:r>
      <w:rPr>
        <w:i/>
        <w:sz w:val="20"/>
      </w:rPr>
      <w:t xml:space="preserve"> </w:t>
    </w:r>
  </w:p>
  <w:p w14:paraId="37E23F60" w14:textId="77777777" w:rsidR="00131BBD" w:rsidRDefault="00CA165E">
    <w:pPr>
      <w:spacing w:after="0"/>
      <w:ind w:left="-137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9AD8" w14:textId="77777777" w:rsidR="00131BBD" w:rsidRDefault="00CA165E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1431F5" wp14:editId="4CCD5CDE">
              <wp:simplePos x="0" y="0"/>
              <wp:positionH relativeFrom="page">
                <wp:posOffset>803275</wp:posOffset>
              </wp:positionH>
              <wp:positionV relativeFrom="page">
                <wp:posOffset>6749606</wp:posOffset>
              </wp:positionV>
              <wp:extent cx="8759825" cy="26670"/>
              <wp:effectExtent l="0" t="0" r="0" b="0"/>
              <wp:wrapSquare wrapText="bothSides"/>
              <wp:docPr id="4891" name="Group 4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59825" cy="26670"/>
                        <a:chOff x="0" y="0"/>
                        <a:chExt cx="8759825" cy="26670"/>
                      </a:xfrm>
                    </wpg:grpSpPr>
                    <wps:wsp>
                      <wps:cNvPr id="4892" name="Shape 4892"/>
                      <wps:cNvSpPr/>
                      <wps:spPr>
                        <a:xfrm>
                          <a:off x="0" y="0"/>
                          <a:ext cx="8759825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825" h="26670">
                              <a:moveTo>
                                <a:pt x="0" y="0"/>
                              </a:moveTo>
                              <a:lnTo>
                                <a:pt x="8759825" y="2667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46CFE280">
            <v:group id="Group 4891" style="width:689.75pt;height:2.09998pt;position:absolute;mso-position-horizontal-relative:page;mso-position-horizontal:absolute;margin-left:63.25pt;mso-position-vertical-relative:page;margin-top:531.465pt;" coordsize="87598,266">
              <v:shape id="Shape 4892" style="position:absolute;width:87598;height:266;left:0;top:0;" coordsize="8759825,26670" path="m0,0l8759825,26670">
                <v:stroke on="true" weight="0.5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z </w:t>
    </w:r>
    <w:fldSimple w:instr="NUMPAGES   \* MERGEFORMAT">
      <w:r>
        <w:rPr>
          <w:i/>
          <w:sz w:val="20"/>
        </w:rPr>
        <w:t>3</w:t>
      </w:r>
    </w:fldSimple>
    <w:r>
      <w:rPr>
        <w:i/>
        <w:sz w:val="20"/>
      </w:rPr>
      <w:t xml:space="preserve"> </w:t>
    </w:r>
  </w:p>
  <w:p w14:paraId="74563698" w14:textId="77777777" w:rsidR="00131BBD" w:rsidRDefault="00CA165E">
    <w:pPr>
      <w:spacing w:after="0"/>
      <w:ind w:left="-137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7E9D" w14:textId="77777777" w:rsidR="00D813A8" w:rsidRDefault="00D813A8">
      <w:pPr>
        <w:spacing w:after="0" w:line="240" w:lineRule="auto"/>
      </w:pPr>
      <w:r>
        <w:separator/>
      </w:r>
    </w:p>
  </w:footnote>
  <w:footnote w:type="continuationSeparator" w:id="0">
    <w:p w14:paraId="2F60238B" w14:textId="77777777" w:rsidR="00D813A8" w:rsidRDefault="00D8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7001" w14:textId="77777777" w:rsidR="00131BBD" w:rsidRDefault="00CA165E">
    <w:pPr>
      <w:spacing w:after="263"/>
      <w:ind w:left="203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EFE824" wp14:editId="3AA96E7E">
          <wp:simplePos x="0" y="0"/>
          <wp:positionH relativeFrom="page">
            <wp:posOffset>842645</wp:posOffset>
          </wp:positionH>
          <wp:positionV relativeFrom="page">
            <wp:posOffset>547942</wp:posOffset>
          </wp:positionV>
          <wp:extent cx="1138555" cy="990537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55" cy="99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4"/>
      </w:rPr>
      <w:t xml:space="preserve"> </w:t>
    </w:r>
  </w:p>
  <w:p w14:paraId="1CF9AFF8" w14:textId="77777777" w:rsidR="00131BBD" w:rsidRDefault="00CA165E">
    <w:pPr>
      <w:spacing w:after="305"/>
      <w:ind w:left="3708"/>
    </w:pPr>
    <w:r>
      <w:rPr>
        <w:rFonts w:ascii="Arial" w:eastAsia="Arial" w:hAnsi="Arial" w:cs="Arial"/>
        <w:b/>
        <w:sz w:val="24"/>
      </w:rPr>
      <w:t xml:space="preserve">Zdôvodnenie zapracovania/zamietnutia pripomienok z verejnej konzultácie </w:t>
    </w:r>
  </w:p>
  <w:p w14:paraId="31E090F1" w14:textId="77777777" w:rsidR="00131BBD" w:rsidRDefault="00CA165E">
    <w:pPr>
      <w:spacing w:after="0"/>
      <w:ind w:left="1973"/>
      <w:jc w:val="center"/>
    </w:pPr>
    <w:r>
      <w:rPr>
        <w:rFonts w:ascii="Arial" w:eastAsia="Arial" w:hAnsi="Arial" w:cs="Arial"/>
        <w:sz w:val="28"/>
      </w:rPr>
      <w:t>k Prevádzkovému poriadku PPS</w:t>
    </w:r>
    <w:r>
      <w:rPr>
        <w:rFonts w:ascii="Arial" w:eastAsia="Arial" w:hAnsi="Arial" w:cs="Arial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6A47" w14:textId="28555074" w:rsidR="00131BBD" w:rsidRPr="0007619D" w:rsidRDefault="00CA165E" w:rsidP="00E44558">
    <w:pPr>
      <w:spacing w:after="263"/>
      <w:rPr>
        <w:bCs/>
        <w:u w:val="single"/>
      </w:rPr>
    </w:pPr>
    <w:r w:rsidRPr="0007619D">
      <w:rPr>
        <w:bCs/>
        <w:noProof/>
        <w:u w:val="single"/>
      </w:rPr>
      <w:drawing>
        <wp:anchor distT="0" distB="0" distL="114300" distR="114300" simplePos="0" relativeHeight="251659264" behindDoc="0" locked="0" layoutInCell="1" allowOverlap="0" wp14:anchorId="1100A135" wp14:editId="60352207">
          <wp:simplePos x="0" y="0"/>
          <wp:positionH relativeFrom="page">
            <wp:posOffset>842645</wp:posOffset>
          </wp:positionH>
          <wp:positionV relativeFrom="page">
            <wp:posOffset>547942</wp:posOffset>
          </wp:positionV>
          <wp:extent cx="1138555" cy="990537"/>
          <wp:effectExtent l="0" t="0" r="0" b="0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55" cy="99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619D">
      <w:rPr>
        <w:rFonts w:ascii="Arial" w:eastAsia="Arial" w:hAnsi="Arial" w:cs="Arial"/>
        <w:bCs/>
        <w:sz w:val="24"/>
        <w:u w:val="single"/>
      </w:rPr>
      <w:t xml:space="preserve"> </w:t>
    </w:r>
  </w:p>
  <w:p w14:paraId="589ED60C" w14:textId="2CC4C452" w:rsidR="00131BBD" w:rsidRPr="00161778" w:rsidRDefault="00CA165E" w:rsidP="006F14A4">
    <w:pPr>
      <w:spacing w:after="305"/>
      <w:jc w:val="center"/>
      <w:rPr>
        <w:sz w:val="28"/>
        <w:szCs w:val="28"/>
      </w:rPr>
    </w:pPr>
    <w:r w:rsidRPr="00161778">
      <w:rPr>
        <w:rFonts w:ascii="Arial" w:eastAsia="Arial" w:hAnsi="Arial" w:cs="Arial"/>
        <w:b/>
        <w:sz w:val="28"/>
        <w:szCs w:val="28"/>
      </w:rPr>
      <w:t>Zdôvodnenie zapracovania/zamietnutia pripomienok z verejnej konzultácie</w:t>
    </w:r>
  </w:p>
  <w:p w14:paraId="6086634C" w14:textId="1DD78102" w:rsidR="00131BBD" w:rsidRDefault="00CA165E" w:rsidP="006F14A4">
    <w:pPr>
      <w:ind w:left="1973"/>
      <w:jc w:val="center"/>
    </w:pPr>
    <w:r>
      <w:rPr>
        <w:rFonts w:ascii="Arial" w:eastAsia="Arial" w:hAnsi="Arial" w:cs="Arial"/>
        <w:sz w:val="28"/>
      </w:rPr>
      <w:t xml:space="preserve">k </w:t>
    </w:r>
    <w:r w:rsidR="00606236" w:rsidRPr="00606236">
      <w:rPr>
        <w:rFonts w:ascii="Arial" w:eastAsia="Arial" w:hAnsi="Arial" w:cs="Arial"/>
        <w:sz w:val="28"/>
      </w:rPr>
      <w:t>Návrhu zmien v oceňovaní regulačnej elektriny a výpočte systémovej odchýlky po pripojení k platformám aFRR (PICASSO) a mFRR (MARI)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0AEC" w14:textId="77777777" w:rsidR="00131BBD" w:rsidRDefault="00CA165E">
    <w:pPr>
      <w:spacing w:after="263"/>
      <w:ind w:left="2037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B4AF8A4" wp14:editId="36319454">
          <wp:simplePos x="0" y="0"/>
          <wp:positionH relativeFrom="page">
            <wp:posOffset>842645</wp:posOffset>
          </wp:positionH>
          <wp:positionV relativeFrom="page">
            <wp:posOffset>547942</wp:posOffset>
          </wp:positionV>
          <wp:extent cx="1138555" cy="990537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55" cy="99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4"/>
      </w:rPr>
      <w:t xml:space="preserve"> </w:t>
    </w:r>
  </w:p>
  <w:p w14:paraId="3C5EF3F3" w14:textId="77777777" w:rsidR="00131BBD" w:rsidRDefault="00CA165E">
    <w:pPr>
      <w:spacing w:after="305"/>
      <w:ind w:left="3708"/>
    </w:pPr>
    <w:r>
      <w:rPr>
        <w:rFonts w:ascii="Arial" w:eastAsia="Arial" w:hAnsi="Arial" w:cs="Arial"/>
        <w:b/>
        <w:sz w:val="24"/>
      </w:rPr>
      <w:t xml:space="preserve">Zdôvodnenie zapracovania/zamietnutia pripomienok z verejnej konzultácie </w:t>
    </w:r>
  </w:p>
  <w:p w14:paraId="21C1808E" w14:textId="77777777" w:rsidR="00131BBD" w:rsidRDefault="00CA165E">
    <w:pPr>
      <w:spacing w:after="0"/>
      <w:ind w:left="1973"/>
      <w:jc w:val="center"/>
    </w:pPr>
    <w:r>
      <w:rPr>
        <w:rFonts w:ascii="Arial" w:eastAsia="Arial" w:hAnsi="Arial" w:cs="Arial"/>
        <w:sz w:val="28"/>
      </w:rPr>
      <w:t>k Prevádzkovému poriadku PPS</w:t>
    </w:r>
    <w:r>
      <w:rPr>
        <w:rFonts w:ascii="Arial" w:eastAsia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987"/>
    <w:multiLevelType w:val="hybridMultilevel"/>
    <w:tmpl w:val="BE7E951A"/>
    <w:lvl w:ilvl="0" w:tplc="82EACD14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021B9E">
      <w:start w:val="1"/>
      <w:numFmt w:val="lowerLetter"/>
      <w:lvlText w:val="%2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4FEAC">
      <w:start w:val="1"/>
      <w:numFmt w:val="lowerRoman"/>
      <w:lvlText w:val="%3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5846AE">
      <w:start w:val="1"/>
      <w:numFmt w:val="decimal"/>
      <w:lvlText w:val="%4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F8FCBA">
      <w:start w:val="1"/>
      <w:numFmt w:val="lowerLetter"/>
      <w:lvlText w:val="%5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A7F70">
      <w:start w:val="1"/>
      <w:numFmt w:val="lowerRoman"/>
      <w:lvlText w:val="%6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0E334">
      <w:start w:val="1"/>
      <w:numFmt w:val="decimal"/>
      <w:lvlText w:val="%7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5A26D2">
      <w:start w:val="1"/>
      <w:numFmt w:val="lowerLetter"/>
      <w:lvlText w:val="%8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3E3E1C">
      <w:start w:val="1"/>
      <w:numFmt w:val="lowerRoman"/>
      <w:lvlText w:val="%9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744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BD"/>
    <w:rsid w:val="000030CB"/>
    <w:rsid w:val="0007619D"/>
    <w:rsid w:val="000A16A1"/>
    <w:rsid w:val="00131BBD"/>
    <w:rsid w:val="00161778"/>
    <w:rsid w:val="001D288F"/>
    <w:rsid w:val="001F153B"/>
    <w:rsid w:val="002B6AAD"/>
    <w:rsid w:val="002D1D8E"/>
    <w:rsid w:val="00307DDA"/>
    <w:rsid w:val="00314E94"/>
    <w:rsid w:val="004B490B"/>
    <w:rsid w:val="0056748B"/>
    <w:rsid w:val="00606236"/>
    <w:rsid w:val="006F14A4"/>
    <w:rsid w:val="00825EF9"/>
    <w:rsid w:val="00877752"/>
    <w:rsid w:val="008A2FE8"/>
    <w:rsid w:val="008E7950"/>
    <w:rsid w:val="009476CD"/>
    <w:rsid w:val="009B6E58"/>
    <w:rsid w:val="00B553CF"/>
    <w:rsid w:val="00C571BA"/>
    <w:rsid w:val="00CA165E"/>
    <w:rsid w:val="00D50975"/>
    <w:rsid w:val="00D551D0"/>
    <w:rsid w:val="00D813A8"/>
    <w:rsid w:val="00D86C7F"/>
    <w:rsid w:val="00DA0F1D"/>
    <w:rsid w:val="00DD3845"/>
    <w:rsid w:val="00E21CFD"/>
    <w:rsid w:val="00E32463"/>
    <w:rsid w:val="00E44558"/>
    <w:rsid w:val="01245D0D"/>
    <w:rsid w:val="05834C72"/>
    <w:rsid w:val="07CC1E7C"/>
    <w:rsid w:val="09797E2F"/>
    <w:rsid w:val="0E8E732E"/>
    <w:rsid w:val="15EE580C"/>
    <w:rsid w:val="16DD38F3"/>
    <w:rsid w:val="1C77DFB7"/>
    <w:rsid w:val="250C7AD3"/>
    <w:rsid w:val="25846AAB"/>
    <w:rsid w:val="267C7613"/>
    <w:rsid w:val="2966B4D4"/>
    <w:rsid w:val="2AC52FAE"/>
    <w:rsid w:val="2DEDFB5E"/>
    <w:rsid w:val="2F87265A"/>
    <w:rsid w:val="369F61AA"/>
    <w:rsid w:val="38546361"/>
    <w:rsid w:val="39247710"/>
    <w:rsid w:val="3BA29B22"/>
    <w:rsid w:val="3C00525F"/>
    <w:rsid w:val="3EC96F74"/>
    <w:rsid w:val="416E645A"/>
    <w:rsid w:val="43C2AFEB"/>
    <w:rsid w:val="49E1D056"/>
    <w:rsid w:val="4D197118"/>
    <w:rsid w:val="4F4596EF"/>
    <w:rsid w:val="508476F4"/>
    <w:rsid w:val="55169E70"/>
    <w:rsid w:val="551B1F1F"/>
    <w:rsid w:val="568C132B"/>
    <w:rsid w:val="632A0445"/>
    <w:rsid w:val="635BE07F"/>
    <w:rsid w:val="6839676F"/>
    <w:rsid w:val="68FB4C35"/>
    <w:rsid w:val="6B5D39EF"/>
    <w:rsid w:val="6DEF611C"/>
    <w:rsid w:val="7207EEF8"/>
    <w:rsid w:val="7D4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052E3"/>
  <w15:docId w15:val="{346170B9-E40D-4583-8BB9-2433BAF1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25EF9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val="cs-CZ" w:eastAsia="en-US"/>
    </w:rPr>
  </w:style>
  <w:style w:type="character" w:styleId="Zvraznenie">
    <w:name w:val="Emphasis"/>
    <w:basedOn w:val="Predvolenpsmoodseku"/>
    <w:uiPriority w:val="20"/>
    <w:qFormat/>
    <w:rsid w:val="002D1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85FAF453A94488C06EE9466D14C11" ma:contentTypeVersion="0" ma:contentTypeDescription="Umožňuje vytvoriť nový dokument." ma:contentTypeScope="" ma:versionID="ae6493213595e60142fe1d2558136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18F00-A257-4D97-AC3E-ACFE379B6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97B9A-E207-4993-BB56-743A2D2C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57073-86A9-47FC-87B3-BCE2FCBF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904</Words>
  <Characters>5159</Characters>
  <Application>Microsoft Office Word</Application>
  <DocSecurity>0</DocSecurity>
  <Lines>42</Lines>
  <Paragraphs>12</Paragraphs>
  <ScaleCrop>false</ScaleCrop>
  <Company>Slovenska elektrizacna prenosova sustava, a.s.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cp:lastModifiedBy>Onofrej Jakub</cp:lastModifiedBy>
  <cp:revision>11</cp:revision>
  <dcterms:created xsi:type="dcterms:W3CDTF">2023-07-06T15:52:00Z</dcterms:created>
  <dcterms:modified xsi:type="dcterms:W3CDTF">2023-07-18T07:39:00Z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667439-c6d2-4456-8312-9474fe495851_Enabled">
    <vt:lpwstr>true</vt:lpwstr>
  </property>
  <property fmtid="{D5CDD505-2E9C-101B-9397-08002B2CF9AE}" pid="3" name="MSIP_Label_71667439-c6d2-4456-8312-9474fe495851_SetDate">
    <vt:lpwstr>2023-07-06T10:08:09Z</vt:lpwstr>
  </property>
  <property fmtid="{D5CDD505-2E9C-101B-9397-08002B2CF9AE}" pid="4" name="MSIP_Label_71667439-c6d2-4456-8312-9474fe495851_Method">
    <vt:lpwstr>Privileged</vt:lpwstr>
  </property>
  <property fmtid="{D5CDD505-2E9C-101B-9397-08002B2CF9AE}" pid="5" name="MSIP_Label_71667439-c6d2-4456-8312-9474fe495851_Name">
    <vt:lpwstr>71667439-c6d2-4456-8312-9474fe495851</vt:lpwstr>
  </property>
  <property fmtid="{D5CDD505-2E9C-101B-9397-08002B2CF9AE}" pid="6" name="MSIP_Label_71667439-c6d2-4456-8312-9474fe495851_SiteId">
    <vt:lpwstr>6dfa2abc-8bb8-4557-855c-e532cacb5122</vt:lpwstr>
  </property>
  <property fmtid="{D5CDD505-2E9C-101B-9397-08002B2CF9AE}" pid="7" name="MSIP_Label_71667439-c6d2-4456-8312-9474fe495851_ActionId">
    <vt:lpwstr>5da388d7-5722-49e0-b5ae-8422d1d05956</vt:lpwstr>
  </property>
  <property fmtid="{D5CDD505-2E9C-101B-9397-08002B2CF9AE}" pid="8" name="MSIP_Label_71667439-c6d2-4456-8312-9474fe495851_ContentBits">
    <vt:lpwstr>0</vt:lpwstr>
  </property>
  <property fmtid="{D5CDD505-2E9C-101B-9397-08002B2CF9AE}" pid="9" name="ContentTypeId">
    <vt:lpwstr>0x0101003C285FAF453A94488C06EE9466D14C11</vt:lpwstr>
  </property>
</Properties>
</file>