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6175" w14:textId="77777777" w:rsidR="000E28C9" w:rsidRPr="000E28C9" w:rsidRDefault="000E28C9" w:rsidP="000E28C9">
      <w:pPr>
        <w:keepNext/>
        <w:keepLines/>
        <w:suppressAutoHyphens/>
        <w:spacing w:before="360" w:after="360" w:line="320" w:lineRule="exact"/>
        <w:jc w:val="center"/>
        <w:outlineLvl w:val="0"/>
        <w:rPr>
          <w:rFonts w:ascii="Arial" w:eastAsia="Times New Roman" w:hAnsi="Arial" w:cs="Arial"/>
          <w:b/>
          <w:bCs/>
          <w:sz w:val="24"/>
          <w:szCs w:val="24"/>
          <w:lang w:eastAsia="sk-SK"/>
        </w:rPr>
      </w:pPr>
      <w:bookmarkStart w:id="0" w:name="_Hlk156815902"/>
      <w:r w:rsidRPr="000E28C9">
        <w:rPr>
          <w:rFonts w:ascii="Arial" w:eastAsia="Times New Roman" w:hAnsi="Arial" w:cs="Arial"/>
          <w:b/>
          <w:bCs/>
          <w:sz w:val="24"/>
          <w:szCs w:val="24"/>
          <w:lang w:eastAsia="sk-SK"/>
        </w:rPr>
        <w:t>Príloha č. 5</w:t>
      </w:r>
      <w:r w:rsidRPr="000E28C9">
        <w:rPr>
          <w:rFonts w:ascii="Arial" w:eastAsia="Times New Roman" w:hAnsi="Arial" w:cs="Arial"/>
          <w:sz w:val="24"/>
          <w:szCs w:val="24"/>
          <w:lang w:eastAsia="sk-SK"/>
        </w:rPr>
        <w:br/>
      </w:r>
      <w:r w:rsidRPr="000E28C9">
        <w:rPr>
          <w:rFonts w:ascii="Arial" w:eastAsia="Times New Roman" w:hAnsi="Arial" w:cs="Arial"/>
          <w:b/>
          <w:bCs/>
          <w:sz w:val="24"/>
          <w:szCs w:val="24"/>
          <w:lang w:eastAsia="sk-SK"/>
        </w:rPr>
        <w:t>Časový priebeh dohodnutia obchodného prípadu</w:t>
      </w:r>
      <w:r w:rsidRPr="000E28C9">
        <w:rPr>
          <w:rFonts w:ascii="Arial" w:eastAsia="Times New Roman" w:hAnsi="Arial" w:cs="Arial"/>
          <w:sz w:val="24"/>
          <w:szCs w:val="24"/>
          <w:lang w:eastAsia="sk-SK"/>
        </w:rPr>
        <w:br/>
      </w:r>
      <w:r w:rsidRPr="000E28C9">
        <w:rPr>
          <w:rFonts w:ascii="Arial" w:eastAsia="Times New Roman" w:hAnsi="Arial" w:cs="Arial"/>
          <w:b/>
          <w:bCs/>
          <w:sz w:val="24"/>
          <w:szCs w:val="24"/>
          <w:lang w:eastAsia="sk-SK"/>
        </w:rPr>
        <w:t>na profile SK/UA</w:t>
      </w:r>
    </w:p>
    <w:p w14:paraId="05D31FBF" w14:textId="4AF37FCC" w:rsidR="000E28C9" w:rsidRDefault="000E28C9" w:rsidP="000E28C9">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Jednou z podmienok dohodnutia cezhraničného prenosu na profile SK/UA je získanie práv pre využitie prenosovej kapacity Užívateľom alebo jeho zahraničným partnerom/partnermi v explicitnej aukcii organizovanej aukčnou kanceláriou JAO. Tieto práva je možné získať</w:t>
      </w:r>
      <w:r>
        <w:rPr>
          <w:rFonts w:ascii="Arial" w:eastAsia="Times New Roman" w:hAnsi="Arial" w:cs="Arial"/>
          <w:lang w:eastAsia="sk-SK"/>
        </w:rPr>
        <w:t xml:space="preserve"> </w:t>
      </w:r>
      <w:r w:rsidRPr="000E28C9">
        <w:rPr>
          <w:rFonts w:ascii="Arial" w:eastAsia="Times New Roman" w:hAnsi="Arial" w:cs="Arial"/>
          <w:lang w:eastAsia="sk-SK"/>
        </w:rPr>
        <w:t>rezerváciou prenosovej kapacity pridelenej pre jednotlivé hodiny obchodného dňa v aukčnom procese – spoločné explicitné denné aukcie – spôsobom popísaným v  aukčných pravidlách “</w:t>
      </w:r>
      <w:r w:rsidRPr="00357288">
        <w:rPr>
          <w:rFonts w:ascii="Arial" w:eastAsia="Times New Roman" w:hAnsi="Arial" w:cs="Arial"/>
          <w:lang w:val="en-GB" w:eastAsia="sk-SK"/>
        </w:rPr>
        <w:t>Rules for Daily Capacity Allocation on Ukrainian Borders</w:t>
      </w:r>
      <w:r w:rsidRPr="000E28C9">
        <w:rPr>
          <w:rFonts w:ascii="Arial" w:eastAsia="Times New Roman" w:hAnsi="Arial" w:cs="Arial"/>
          <w:lang w:eastAsia="sk-SK"/>
        </w:rPr>
        <w:t>”, ktoré sú zverejnené na webovom sídle aukčnej kancelárie JAO, pričom odkaz na predmetný dokument je publikovaný na webovom sídle SEPS.  V procese aukcie je prideleným kapacitným právam priradený CAI kód.</w:t>
      </w:r>
    </w:p>
    <w:p w14:paraId="4639C1DD" w14:textId="77777777" w:rsidR="00357288" w:rsidRPr="000E28C9" w:rsidRDefault="00357288" w:rsidP="00357288">
      <w:pPr>
        <w:tabs>
          <w:tab w:val="num" w:pos="567"/>
        </w:tabs>
        <w:spacing w:after="0" w:line="240" w:lineRule="auto"/>
        <w:ind w:left="567"/>
        <w:jc w:val="both"/>
        <w:rPr>
          <w:rFonts w:ascii="Arial" w:eastAsia="Times New Roman" w:hAnsi="Arial" w:cs="Arial"/>
          <w:lang w:eastAsia="sk-SK"/>
        </w:rPr>
      </w:pPr>
    </w:p>
    <w:p w14:paraId="0F7598F0" w14:textId="77777777" w:rsidR="000E28C9" w:rsidRPr="000E28C9" w:rsidRDefault="000E28C9" w:rsidP="000E28C9">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Dohodnutie prenosu s využitím kapacitných práv získaných v dennej aukcii prebieha v nasledujúcich krokoch:</w:t>
      </w:r>
    </w:p>
    <w:p w14:paraId="2D78EBA8" w14:textId="77777777" w:rsidR="000E28C9" w:rsidRPr="000E28C9" w:rsidRDefault="000E28C9" w:rsidP="000E28C9">
      <w:pPr>
        <w:numPr>
          <w:ilvl w:val="5"/>
          <w:numId w:val="3"/>
        </w:numPr>
        <w:tabs>
          <w:tab w:val="num" w:pos="1134"/>
        </w:tabs>
        <w:spacing w:after="0" w:line="240" w:lineRule="auto"/>
        <w:ind w:left="1134" w:hanging="567"/>
        <w:jc w:val="both"/>
        <w:rPr>
          <w:rFonts w:ascii="Arial" w:eastAsia="Times New Roman" w:hAnsi="Arial" w:cs="Arial"/>
          <w:lang w:eastAsia="sk-SK"/>
        </w:rPr>
      </w:pPr>
      <w:r w:rsidRPr="000E28C9">
        <w:rPr>
          <w:rFonts w:ascii="Arial" w:eastAsia="Times New Roman" w:hAnsi="Arial" w:cs="Arial"/>
          <w:lang w:eastAsia="sk-SK"/>
        </w:rPr>
        <w:t xml:space="preserve">Pre dohodnutie denného prenosu (obdobie 24 po sebe idúcich obchodných hodín, resp. 23/25 hodín v prípade prechodu na letný/zimný čas) musí predložiť Užívateľ požiadavku na prenos jedným z nasledujúcich spôsobov: </w:t>
      </w:r>
    </w:p>
    <w:p w14:paraId="12F555EA" w14:textId="77777777" w:rsidR="000E28C9" w:rsidRPr="000E28C9" w:rsidRDefault="000E28C9" w:rsidP="000E28C9">
      <w:pPr>
        <w:numPr>
          <w:ilvl w:val="2"/>
          <w:numId w:val="1"/>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Použitím elektronického formulára vo formáte html s podporou kopírovania z MS Excel (Damas Energy)</w:t>
      </w:r>
    </w:p>
    <w:p w14:paraId="68EDA93A" w14:textId="77777777" w:rsidR="000E28C9" w:rsidRPr="000E28C9" w:rsidRDefault="000E28C9" w:rsidP="000E28C9">
      <w:pPr>
        <w:numPr>
          <w:ilvl w:val="2"/>
          <w:numId w:val="1"/>
        </w:numPr>
        <w:spacing w:after="0" w:line="240" w:lineRule="auto"/>
        <w:ind w:hanging="227"/>
        <w:contextualSpacing/>
        <w:jc w:val="both"/>
        <w:rPr>
          <w:rFonts w:ascii="Arial" w:eastAsia="Times New Roman" w:hAnsi="Arial" w:cs="Arial"/>
          <w:lang w:val="en-US" w:eastAsia="sk-SK"/>
        </w:rPr>
      </w:pPr>
      <w:r w:rsidRPr="000E28C9">
        <w:rPr>
          <w:rFonts w:ascii="Arial" w:eastAsia="Times New Roman" w:hAnsi="Arial" w:cs="Arial"/>
          <w:noProof/>
          <w:lang w:val="en-US" w:eastAsia="sk-SK"/>
        </w:rPr>
        <w:t>Cez upload  XML  súboru</w:t>
      </w:r>
      <w:r w:rsidRPr="000E28C9">
        <w:rPr>
          <w:rFonts w:ascii="Arial" w:eastAsia="Times New Roman" w:hAnsi="Arial" w:cs="Arial"/>
          <w:lang w:val="en-US" w:eastAsia="sk-SK"/>
        </w:rPr>
        <w:t xml:space="preserve"> do Damas Energy</w:t>
      </w:r>
    </w:p>
    <w:p w14:paraId="00821142" w14:textId="77777777" w:rsidR="000E28C9" w:rsidRPr="000E28C9" w:rsidRDefault="000E28C9" w:rsidP="000E28C9">
      <w:pPr>
        <w:numPr>
          <w:ilvl w:val="2"/>
          <w:numId w:val="1"/>
        </w:numPr>
        <w:spacing w:after="0" w:line="240" w:lineRule="auto"/>
        <w:ind w:hanging="227"/>
        <w:contextualSpacing/>
        <w:jc w:val="both"/>
        <w:rPr>
          <w:rFonts w:ascii="Arial" w:eastAsia="Times New Roman" w:hAnsi="Arial" w:cs="Arial"/>
          <w:lang w:val="pl-PL" w:eastAsia="sk-SK"/>
        </w:rPr>
      </w:pPr>
      <w:r w:rsidRPr="000E28C9">
        <w:rPr>
          <w:rFonts w:ascii="Arial" w:eastAsia="Times New Roman" w:hAnsi="Arial" w:cs="Arial"/>
          <w:lang w:val="pl-PL" w:eastAsia="sk-SK"/>
        </w:rPr>
        <w:t>Odoslaním  XML  súboru do Damas Energy  e-mailom na adresu dae@sepsas.sk</w:t>
      </w:r>
    </w:p>
    <w:p w14:paraId="18DCB5C5" w14:textId="77777777" w:rsidR="000E28C9" w:rsidRPr="000E28C9" w:rsidRDefault="000E28C9" w:rsidP="000E28C9">
      <w:pPr>
        <w:numPr>
          <w:ilvl w:val="2"/>
          <w:numId w:val="1"/>
        </w:numPr>
        <w:spacing w:after="240" w:line="240" w:lineRule="auto"/>
        <w:ind w:hanging="227"/>
        <w:contextualSpacing/>
        <w:jc w:val="both"/>
        <w:rPr>
          <w:rFonts w:ascii="Arial" w:eastAsia="Times New Roman" w:hAnsi="Arial" w:cs="Arial"/>
          <w:lang w:val="pl-PL" w:eastAsia="sk-SK"/>
        </w:rPr>
      </w:pPr>
      <w:r w:rsidRPr="000E28C9">
        <w:rPr>
          <w:rFonts w:ascii="Arial" w:eastAsia="Times New Roman" w:hAnsi="Arial" w:cs="Arial"/>
          <w:lang w:val="pl-PL" w:eastAsia="sk-SK"/>
        </w:rPr>
        <w:t>Odoslaním  XML  súboru do Damas Energy cez webové služby.</w:t>
      </w:r>
    </w:p>
    <w:p w14:paraId="66360129" w14:textId="77777777" w:rsidR="000E28C9" w:rsidRPr="000E28C9" w:rsidRDefault="000E28C9" w:rsidP="0092104D">
      <w:pPr>
        <w:numPr>
          <w:ilvl w:val="5"/>
          <w:numId w:val="3"/>
        </w:numPr>
        <w:tabs>
          <w:tab w:val="num" w:pos="1134"/>
        </w:tabs>
        <w:spacing w:after="0" w:line="240" w:lineRule="auto"/>
        <w:ind w:left="1134" w:hanging="567"/>
        <w:jc w:val="both"/>
        <w:rPr>
          <w:rFonts w:ascii="Arial" w:eastAsia="Times New Roman" w:hAnsi="Arial" w:cs="Arial"/>
          <w:lang w:eastAsia="sk-SK"/>
        </w:rPr>
      </w:pPr>
      <w:r w:rsidRPr="000E28C9">
        <w:rPr>
          <w:rFonts w:ascii="Arial" w:eastAsia="Times New Roman" w:hAnsi="Arial" w:cs="Arial"/>
          <w:lang w:eastAsia="sk-SK"/>
        </w:rPr>
        <w:t>Zahraničný partner/partneri Užívateľa predkladá/</w:t>
      </w:r>
      <w:proofErr w:type="spellStart"/>
      <w:r w:rsidRPr="000E28C9">
        <w:rPr>
          <w:rFonts w:ascii="Arial" w:eastAsia="Times New Roman" w:hAnsi="Arial" w:cs="Arial"/>
          <w:lang w:eastAsia="sk-SK"/>
        </w:rPr>
        <w:t>jú</w:t>
      </w:r>
      <w:proofErr w:type="spellEnd"/>
      <w:r w:rsidRPr="000E28C9">
        <w:rPr>
          <w:rFonts w:ascii="Arial" w:eastAsia="Times New Roman" w:hAnsi="Arial" w:cs="Arial"/>
          <w:lang w:eastAsia="sk-SK"/>
        </w:rPr>
        <w:t xml:space="preserve"> požiadavku na prenos do UKRENERGO.</w:t>
      </w:r>
    </w:p>
    <w:p w14:paraId="40D768E2" w14:textId="77777777" w:rsidR="000E28C9" w:rsidRPr="000E28C9" w:rsidRDefault="000E28C9" w:rsidP="0092104D">
      <w:pPr>
        <w:numPr>
          <w:ilvl w:val="5"/>
          <w:numId w:val="3"/>
        </w:numPr>
        <w:tabs>
          <w:tab w:val="num" w:pos="1134"/>
        </w:tabs>
        <w:spacing w:after="0" w:line="240" w:lineRule="auto"/>
        <w:ind w:left="1134" w:hanging="567"/>
        <w:jc w:val="both"/>
        <w:rPr>
          <w:rFonts w:ascii="Arial" w:eastAsia="Times New Roman" w:hAnsi="Arial" w:cs="Arial"/>
          <w:lang w:eastAsia="sk-SK"/>
        </w:rPr>
      </w:pPr>
      <w:r w:rsidRPr="000E28C9">
        <w:rPr>
          <w:rFonts w:ascii="Arial" w:eastAsia="Times New Roman" w:hAnsi="Arial" w:cs="Arial"/>
          <w:lang w:eastAsia="sk-SK"/>
        </w:rPr>
        <w:t>Požiadavka na prenos musí spĺňať nasledujúce podmienky:</w:t>
      </w:r>
    </w:p>
    <w:p w14:paraId="22DF8650" w14:textId="77777777" w:rsidR="000E28C9" w:rsidRPr="000E28C9" w:rsidRDefault="000E28C9" w:rsidP="000E28C9">
      <w:pPr>
        <w:numPr>
          <w:ilvl w:val="6"/>
          <w:numId w:val="2"/>
        </w:numPr>
        <w:spacing w:after="0" w:line="240" w:lineRule="auto"/>
        <w:ind w:hanging="227"/>
        <w:jc w:val="both"/>
        <w:rPr>
          <w:rFonts w:ascii="Arial" w:eastAsia="Times New Roman" w:hAnsi="Arial" w:cs="Arial"/>
          <w:lang w:eastAsia="sk-SK"/>
        </w:rPr>
      </w:pPr>
      <w:r w:rsidRPr="000E28C9">
        <w:rPr>
          <w:rFonts w:ascii="Arial" w:eastAsia="Times New Roman" w:hAnsi="Arial" w:cs="Arial"/>
          <w:lang w:eastAsia="sk-SK"/>
        </w:rPr>
        <w:t xml:space="preserve">správna identifikácia Užívateľa (EIC kód), </w:t>
      </w:r>
    </w:p>
    <w:p w14:paraId="7430673A" w14:textId="77777777" w:rsidR="000E28C9" w:rsidRPr="000E28C9" w:rsidRDefault="000E28C9" w:rsidP="000E28C9">
      <w:pPr>
        <w:numPr>
          <w:ilvl w:val="6"/>
          <w:numId w:val="2"/>
        </w:numPr>
        <w:spacing w:after="0" w:line="240" w:lineRule="auto"/>
        <w:ind w:hanging="227"/>
        <w:jc w:val="both"/>
        <w:rPr>
          <w:rFonts w:ascii="Arial" w:eastAsia="Times New Roman" w:hAnsi="Arial" w:cs="Arial"/>
          <w:lang w:eastAsia="sk-SK"/>
        </w:rPr>
      </w:pPr>
      <w:r w:rsidRPr="000E28C9">
        <w:rPr>
          <w:rFonts w:ascii="Arial" w:eastAsia="Times New Roman" w:hAnsi="Arial" w:cs="Arial"/>
          <w:lang w:eastAsia="sk-SK"/>
        </w:rPr>
        <w:t>správna identifikácia zahraničného partnera (EIC kód)</w:t>
      </w:r>
    </w:p>
    <w:p w14:paraId="7FF516CD" w14:textId="77777777" w:rsidR="000E28C9" w:rsidRPr="000E28C9" w:rsidRDefault="000E28C9" w:rsidP="000E28C9">
      <w:pPr>
        <w:numPr>
          <w:ilvl w:val="6"/>
          <w:numId w:val="2"/>
        </w:numPr>
        <w:spacing w:after="0" w:line="240" w:lineRule="auto"/>
        <w:ind w:hanging="227"/>
        <w:jc w:val="both"/>
        <w:rPr>
          <w:rFonts w:ascii="Arial" w:eastAsia="Times New Roman" w:hAnsi="Arial" w:cs="Arial"/>
          <w:lang w:eastAsia="sk-SK"/>
        </w:rPr>
      </w:pPr>
      <w:r w:rsidRPr="000E28C9">
        <w:rPr>
          <w:rFonts w:ascii="Arial" w:eastAsia="Times New Roman" w:hAnsi="Arial" w:cs="Arial"/>
          <w:lang w:eastAsia="sk-SK"/>
        </w:rPr>
        <w:t>Užívateľ alebo jeho zahraničný partner musí byť vlastníkom kapacitných práv</w:t>
      </w:r>
    </w:p>
    <w:p w14:paraId="2CC3370E" w14:textId="77777777" w:rsidR="000E28C9" w:rsidRDefault="000E28C9" w:rsidP="000E28C9">
      <w:pPr>
        <w:numPr>
          <w:ilvl w:val="6"/>
          <w:numId w:val="2"/>
        </w:numPr>
        <w:spacing w:after="0" w:line="240" w:lineRule="auto"/>
        <w:ind w:hanging="227"/>
        <w:jc w:val="both"/>
        <w:rPr>
          <w:rFonts w:ascii="Arial" w:eastAsia="Times New Roman" w:hAnsi="Arial" w:cs="Arial"/>
          <w:lang w:eastAsia="sk-SK"/>
        </w:rPr>
      </w:pPr>
      <w:r w:rsidRPr="000E28C9">
        <w:rPr>
          <w:rFonts w:ascii="Arial" w:eastAsia="Times New Roman" w:hAnsi="Arial" w:cs="Arial"/>
          <w:lang w:eastAsia="sk-SK"/>
        </w:rPr>
        <w:t>správna identifikácia profilu a smeru požadovaného prenosu</w:t>
      </w:r>
    </w:p>
    <w:p w14:paraId="558C4DE4"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hodnoty požadovaných prenosov v MW sú uvedené formou celých kladných čísel</w:t>
      </w:r>
    </w:p>
    <w:p w14:paraId="02950E15"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 xml:space="preserve">XML súbor spĺňa štandard ESS 3.3 ( vzor je zverejnený na </w:t>
      </w:r>
      <w:hyperlink r:id="rId8">
        <w:r w:rsidRPr="000E28C9">
          <w:rPr>
            <w:rFonts w:ascii="Arial" w:eastAsia="Times New Roman" w:hAnsi="Arial" w:cs="Arial"/>
            <w:lang w:eastAsia="sk-SK"/>
          </w:rPr>
          <w:t>www.sepsas.sk</w:t>
        </w:r>
      </w:hyperlink>
      <w:r w:rsidRPr="000E28C9">
        <w:rPr>
          <w:rFonts w:ascii="Arial" w:eastAsia="Times New Roman" w:hAnsi="Arial" w:cs="Arial"/>
          <w:lang w:eastAsia="sk-SK"/>
        </w:rPr>
        <w:t>)</w:t>
      </w:r>
    </w:p>
    <w:p w14:paraId="2B49DE79"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noProof/>
          <w:lang w:eastAsia="sk-SK"/>
        </w:rPr>
      </w:pPr>
      <w:r w:rsidRPr="000E28C9">
        <w:rPr>
          <w:rFonts w:ascii="Arial" w:eastAsia="Times New Roman" w:hAnsi="Arial" w:cs="Arial"/>
          <w:noProof/>
          <w:lang w:eastAsia="sk-SK"/>
        </w:rPr>
        <w:t>Bussiness Type A03</w:t>
      </w:r>
    </w:p>
    <w:p w14:paraId="4BE88D31"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noProof/>
          <w:lang w:eastAsia="sk-SK"/>
        </w:rPr>
        <w:t>Capacity</w:t>
      </w:r>
      <w:r w:rsidRPr="000E28C9">
        <w:rPr>
          <w:rFonts w:ascii="Arial" w:eastAsia="Times New Roman" w:hAnsi="Arial" w:cs="Arial"/>
          <w:lang w:eastAsia="sk-SK"/>
        </w:rPr>
        <w:t xml:space="preserve"> Contract Type (ďalej len „</w:t>
      </w:r>
      <w:r w:rsidRPr="000E28C9">
        <w:rPr>
          <w:rFonts w:ascii="Arial" w:eastAsia="Times New Roman" w:hAnsi="Arial" w:cs="Arial"/>
          <w:b/>
          <w:lang w:eastAsia="sk-SK"/>
        </w:rPr>
        <w:t>CCT</w:t>
      </w:r>
      <w:r w:rsidRPr="000E28C9">
        <w:rPr>
          <w:rFonts w:ascii="Arial" w:eastAsia="Times New Roman" w:hAnsi="Arial" w:cs="Arial"/>
          <w:lang w:eastAsia="sk-SK"/>
        </w:rPr>
        <w:t>“) –  v závislosti od typu aukcie, v ktorej boli kapacitné práva pridelené</w:t>
      </w:r>
    </w:p>
    <w:p w14:paraId="337D7B5A"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CAI kód – pridelený aukčnou kanceláriou JAO v procese aukcie, resp. v procese prevodu kapacitných práv</w:t>
      </w:r>
    </w:p>
    <w:p w14:paraId="6FF1EA68"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XML súbor v 60min., resp. v 15min. rozlíšení (voliteľné)</w:t>
      </w:r>
    </w:p>
    <w:p w14:paraId="2EBA9942" w14:textId="77777777" w:rsidR="000E28C9" w:rsidRPr="000E28C9" w:rsidRDefault="000E28C9" w:rsidP="000E28C9">
      <w:pPr>
        <w:numPr>
          <w:ilvl w:val="6"/>
          <w:numId w:val="2"/>
        </w:numPr>
        <w:spacing w:after="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 xml:space="preserve">Požiadavky na prenos sú zadávané s rešpektovaním princípu m:n </w:t>
      </w:r>
      <w:r w:rsidRPr="000E28C9">
        <w:rPr>
          <w:rFonts w:ascii="Arial" w:eastAsia="Times New Roman" w:hAnsi="Arial" w:cs="Arial"/>
          <w:noProof/>
          <w:lang w:eastAsia="sk-SK"/>
        </w:rPr>
        <w:t>(cross-</w:t>
      </w:r>
      <w:r w:rsidRPr="000E28C9">
        <w:rPr>
          <w:rFonts w:ascii="Arial" w:eastAsia="Times New Roman" w:hAnsi="Arial" w:cs="Arial"/>
          <w:lang w:eastAsia="sk-SK"/>
        </w:rPr>
        <w:t>nominácie), tzn. vlastník kapacitných práv môže tieto práva využiť s viac ako jedným  zahraničným partnerom na druhej strane hranice.</w:t>
      </w:r>
    </w:p>
    <w:p w14:paraId="47964E05" w14:textId="77777777" w:rsidR="000E28C9" w:rsidRPr="000E28C9" w:rsidRDefault="000E28C9" w:rsidP="000E28C9">
      <w:pPr>
        <w:numPr>
          <w:ilvl w:val="6"/>
          <w:numId w:val="2"/>
        </w:numPr>
        <w:spacing w:after="24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 xml:space="preserve">Užívateľ nemôže zadať viac ako jednu požiadavku na prenos s rovnakou kombináciou: </w:t>
      </w:r>
      <w:r w:rsidRPr="000E28C9">
        <w:rPr>
          <w:rFonts w:ascii="Arial" w:eastAsia="Times New Roman" w:hAnsi="Arial" w:cs="Arial"/>
          <w:noProof/>
          <w:lang w:eastAsia="sk-SK"/>
        </w:rPr>
        <w:t>InArea/OutArea/InParty/OutParty</w:t>
      </w:r>
      <w:r w:rsidRPr="000E28C9">
        <w:rPr>
          <w:rFonts w:ascii="Arial" w:eastAsia="Times New Roman" w:hAnsi="Arial" w:cs="Arial"/>
          <w:lang w:eastAsia="sk-SK"/>
        </w:rPr>
        <w:t>/CCT/CAI</w:t>
      </w:r>
    </w:p>
    <w:p w14:paraId="6C3BF5DF" w14:textId="77777777" w:rsidR="000E28C9" w:rsidRPr="000E28C9" w:rsidRDefault="000E28C9" w:rsidP="000E28C9">
      <w:pPr>
        <w:numPr>
          <w:ilvl w:val="6"/>
          <w:numId w:val="2"/>
        </w:numPr>
        <w:spacing w:after="240" w:line="240" w:lineRule="auto"/>
        <w:ind w:hanging="227"/>
        <w:contextualSpacing/>
        <w:jc w:val="both"/>
        <w:rPr>
          <w:rFonts w:ascii="Arial" w:eastAsia="Times New Roman" w:hAnsi="Arial" w:cs="Arial"/>
          <w:lang w:eastAsia="sk-SK"/>
        </w:rPr>
      </w:pPr>
      <w:r w:rsidRPr="000E28C9">
        <w:rPr>
          <w:rFonts w:ascii="Arial" w:eastAsia="Times New Roman" w:hAnsi="Arial" w:cs="Arial"/>
          <w:lang w:eastAsia="sk-SK"/>
        </w:rPr>
        <w:t>Požiadavky na prenos môžu byť zaslané do Damas Energy vopred, akonáhle je kapacitným právam pridelený CAI kód.</w:t>
      </w:r>
    </w:p>
    <w:p w14:paraId="535466F8" w14:textId="35ABA7E3" w:rsidR="000E28C9" w:rsidRPr="000E28C9" w:rsidRDefault="000E28C9" w:rsidP="000E28C9">
      <w:pPr>
        <w:numPr>
          <w:ilvl w:val="5"/>
          <w:numId w:val="3"/>
        </w:numPr>
        <w:tabs>
          <w:tab w:val="num" w:pos="1134"/>
        </w:tabs>
        <w:spacing w:after="0" w:line="240" w:lineRule="auto"/>
        <w:ind w:left="1134" w:hanging="567"/>
        <w:jc w:val="both"/>
        <w:rPr>
          <w:rFonts w:ascii="Arial" w:eastAsia="Times New Roman" w:hAnsi="Arial" w:cs="Arial"/>
          <w:lang w:eastAsia="sk-SK"/>
        </w:rPr>
      </w:pPr>
      <w:r w:rsidRPr="000E28C9">
        <w:rPr>
          <w:rFonts w:ascii="Arial" w:eastAsia="Times New Roman" w:hAnsi="Arial" w:cs="Arial"/>
          <w:lang w:eastAsia="sk-SK"/>
        </w:rPr>
        <w:t xml:space="preserve">Ak sú pre požadované prenosy založené kapacitné práva, hodnoty týchto prenosov sú  ihneď po prijatí zaslané do systému </w:t>
      </w:r>
      <w:r w:rsidRPr="000E28C9">
        <w:rPr>
          <w:rFonts w:ascii="Arial" w:eastAsia="Times New Roman" w:hAnsi="Arial" w:cs="Arial"/>
          <w:noProof/>
          <w:lang w:eastAsia="sk-SK"/>
        </w:rPr>
        <w:t xml:space="preserve">zúčtovateľa </w:t>
      </w:r>
      <w:r w:rsidRPr="000E28C9">
        <w:rPr>
          <w:rFonts w:ascii="Arial" w:eastAsia="Times New Roman" w:hAnsi="Arial" w:cs="Arial"/>
          <w:lang w:eastAsia="sk-SK"/>
        </w:rPr>
        <w:t xml:space="preserve">odchýlok a  skontrolované voči disponibilnej finančnej zábezpeke. V prípade nedostatočnej </w:t>
      </w:r>
      <w:r w:rsidRPr="000E28C9">
        <w:rPr>
          <w:rFonts w:ascii="Arial" w:eastAsia="Times New Roman" w:hAnsi="Arial" w:cs="Arial"/>
          <w:lang w:eastAsia="sk-SK"/>
        </w:rPr>
        <w:lastRenderedPageBreak/>
        <w:t xml:space="preserve">výšky disponibilnej finančnej zábezpeky Užívateľovi bude doručený </w:t>
      </w:r>
      <w:r w:rsidRPr="000E28C9">
        <w:rPr>
          <w:rFonts w:ascii="Arial" w:eastAsia="Times New Roman" w:hAnsi="Arial" w:cs="Arial"/>
          <w:noProof/>
          <w:lang w:eastAsia="sk-SK"/>
        </w:rPr>
        <w:t xml:space="preserve">Anomaly </w:t>
      </w:r>
      <w:r w:rsidRPr="000E28C9">
        <w:rPr>
          <w:rFonts w:ascii="Arial" w:eastAsia="Times New Roman" w:hAnsi="Arial" w:cs="Arial"/>
          <w:lang w:eastAsia="sk-SK"/>
        </w:rPr>
        <w:t>Report (ďalej len „</w:t>
      </w:r>
      <w:r w:rsidRPr="000E28C9">
        <w:rPr>
          <w:rFonts w:ascii="Arial" w:eastAsia="Times New Roman" w:hAnsi="Arial" w:cs="Arial"/>
          <w:b/>
          <w:bCs/>
          <w:lang w:eastAsia="sk-SK"/>
        </w:rPr>
        <w:t>ANO</w:t>
      </w:r>
      <w:r w:rsidRPr="000E28C9">
        <w:rPr>
          <w:rFonts w:ascii="Arial" w:eastAsia="Times New Roman" w:hAnsi="Arial" w:cs="Arial"/>
          <w:lang w:eastAsia="sk-SK"/>
        </w:rPr>
        <w:t xml:space="preserve">“) vo forme správy v užívateľskom účte Užívateľa v rámci Damas Energy. V prípade, že Užívateľ v čase do uzávierky zadávania požiadaviek na cezhraničný prenos náležite neupraví výšku disponibilnej finančnej zábezpeky, resp. náležite neupraví hodnoty požadovaného prenosu tak, aby disponibilná finančná zábezpeka bola dostačujúca, hodnoty požadovaného prenosu nevstúpia do procesu </w:t>
      </w:r>
      <w:r w:rsidRPr="000E28C9">
        <w:rPr>
          <w:rFonts w:ascii="Arial" w:eastAsia="Times New Roman" w:hAnsi="Arial" w:cs="Arial"/>
          <w:noProof/>
          <w:lang w:eastAsia="sk-SK"/>
        </w:rPr>
        <w:t xml:space="preserve">zosúhlasovania </w:t>
      </w:r>
      <w:r w:rsidRPr="000E28C9">
        <w:rPr>
          <w:rFonts w:ascii="Arial" w:eastAsia="Times New Roman" w:hAnsi="Arial" w:cs="Arial"/>
          <w:lang w:eastAsia="sk-SK"/>
        </w:rPr>
        <w:t>cezhraničných prenosov s hodnotami príslušného susedného operátora PS, tzn. požadovaný prenos nebude akceptovaný.</w:t>
      </w:r>
    </w:p>
    <w:p w14:paraId="67FF14C7" w14:textId="77777777" w:rsidR="000E28C9" w:rsidRPr="000E28C9" w:rsidRDefault="000E28C9" w:rsidP="000E28C9">
      <w:pPr>
        <w:spacing w:after="0" w:line="240" w:lineRule="auto"/>
        <w:jc w:val="both"/>
        <w:rPr>
          <w:rFonts w:ascii="Arial" w:eastAsia="Times New Roman" w:hAnsi="Arial" w:cs="Arial"/>
          <w:lang w:eastAsia="sk-SK"/>
        </w:rPr>
      </w:pPr>
    </w:p>
    <w:p w14:paraId="3FCD0A95" w14:textId="77777777" w:rsidR="000E28C9" w:rsidRPr="000E28C9" w:rsidRDefault="000E28C9" w:rsidP="000E28C9">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V prípade splnenia podmienok pre zadanie požiadavky podľa odseku 2)c) tejto Prílohy Prevádzkovateľ PS prostredníctvom Damas Energy prijme zadanú požiadavku. V prípade nesplnenia podmienok Prevádzkovateľ PS prostredníctvom Damas Energy túto požiadavku neprijme. V oboch prípadoch je táto skutočnosť potvrdená Užívateľovi správou v užívateľskom účte v  Damas Energy.</w:t>
      </w:r>
    </w:p>
    <w:p w14:paraId="381BCC5F" w14:textId="77777777" w:rsidR="000E28C9" w:rsidRPr="000E28C9" w:rsidRDefault="000E28C9" w:rsidP="000E28C9">
      <w:pPr>
        <w:spacing w:after="0" w:line="240" w:lineRule="auto"/>
        <w:ind w:left="709" w:hanging="425"/>
        <w:jc w:val="both"/>
        <w:rPr>
          <w:rFonts w:ascii="Arial" w:eastAsia="Times New Roman" w:hAnsi="Arial" w:cs="Arial"/>
          <w:lang w:eastAsia="sk-SK"/>
        </w:rPr>
      </w:pPr>
    </w:p>
    <w:p w14:paraId="1D7C34FA" w14:textId="77777777" w:rsidR="000E28C9" w:rsidRPr="000E28C9" w:rsidRDefault="000E28C9" w:rsidP="000E28C9">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Prevádzkovateľ PS preverí technickú realizovateľnosť s ohľadom na bezpečnú a spoľahlivú prevádzku prenosovej sústavy.</w:t>
      </w:r>
    </w:p>
    <w:p w14:paraId="410913D7" w14:textId="77777777" w:rsidR="000E28C9" w:rsidRPr="000E28C9" w:rsidRDefault="000E28C9" w:rsidP="000E28C9">
      <w:pPr>
        <w:spacing w:after="0" w:line="240" w:lineRule="auto"/>
        <w:ind w:left="709" w:hanging="425"/>
        <w:jc w:val="both"/>
        <w:rPr>
          <w:rFonts w:ascii="Arial" w:eastAsia="Times New Roman" w:hAnsi="Arial" w:cs="Arial"/>
          <w:lang w:eastAsia="sk-SK"/>
        </w:rPr>
      </w:pPr>
    </w:p>
    <w:p w14:paraId="518C3970" w14:textId="77777777" w:rsidR="000E28C9" w:rsidRDefault="000E28C9" w:rsidP="0092104D">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 xml:space="preserve">V prípade, že do Damas Energy je doručená jedna alebo viacero požiadaviek na prenos, ktoré využívajú kapacitné práva s rovnakým CAI kódom a tieto požiadavky v súčte prevýšia kapacitné práva priradené danému CAI kódu, Damas Energy odošle všetkým dotknutým Užívateľom ANO upozorňujúci na skutočnosť, že pridelené kapacitné práva boli prekročené. Užívateľovi bude doručený ANO vo forme správy v užívateľskom účte Užívateľa v rámci Damas Energy. V prípade, že Užívateľ/Užívatelia v čase do uzávierky zadávania požiadaviek na prenos neskorigujú príslušné požiadavky na prenos, všetky dotknuté požiadavky budú proporcionálne skrátené a zaokrúhlené smerom nadol na celé číslo. </w:t>
      </w:r>
      <w:bookmarkEnd w:id="0"/>
    </w:p>
    <w:p w14:paraId="2FA01D2F" w14:textId="77777777" w:rsidR="000E28C9" w:rsidRDefault="000E28C9" w:rsidP="000E28C9">
      <w:pPr>
        <w:spacing w:after="0" w:line="240" w:lineRule="auto"/>
        <w:contextualSpacing/>
        <w:jc w:val="both"/>
        <w:rPr>
          <w:rFonts w:ascii="Arial" w:eastAsia="Times New Roman" w:hAnsi="Arial" w:cs="Arial"/>
          <w:lang w:eastAsia="sk-SK"/>
        </w:rPr>
      </w:pPr>
    </w:p>
    <w:p w14:paraId="7B391216" w14:textId="77777777" w:rsidR="000E28C9" w:rsidRDefault="000E28C9" w:rsidP="000E28C9">
      <w:pPr>
        <w:numPr>
          <w:ilvl w:val="0"/>
          <w:numId w:val="3"/>
        </w:numPr>
        <w:tabs>
          <w:tab w:val="num" w:pos="567"/>
        </w:tabs>
        <w:spacing w:after="0" w:line="240" w:lineRule="auto"/>
        <w:ind w:left="567" w:hanging="567"/>
        <w:jc w:val="both"/>
        <w:rPr>
          <w:rFonts w:ascii="Arial" w:eastAsia="Times New Roman" w:hAnsi="Arial" w:cs="Arial"/>
          <w:lang w:eastAsia="sk-SK"/>
        </w:rPr>
      </w:pPr>
      <w:r w:rsidRPr="000E28C9">
        <w:rPr>
          <w:rFonts w:ascii="Arial" w:eastAsia="Times New Roman" w:hAnsi="Arial" w:cs="Arial"/>
          <w:lang w:eastAsia="sk-SK"/>
        </w:rPr>
        <w:t xml:space="preserve"> Požiadavky na prenos využívajúce kapacitné práva pridelené v dennej aukcii Užívateľ predkladá v čase do 14.30 hod. dňa D-1, kde D je deň prenosu.  V čase 14.30 hod. dňa D-1 začína proces </w:t>
      </w:r>
      <w:r w:rsidRPr="000E28C9">
        <w:rPr>
          <w:rFonts w:ascii="Arial" w:eastAsia="Times New Roman" w:hAnsi="Arial" w:cs="Arial"/>
          <w:noProof/>
          <w:lang w:eastAsia="sk-SK"/>
        </w:rPr>
        <w:t>zosúhlasenia p</w:t>
      </w:r>
      <w:r w:rsidRPr="000E28C9">
        <w:rPr>
          <w:rFonts w:ascii="Arial" w:eastAsia="Times New Roman" w:hAnsi="Arial" w:cs="Arial"/>
          <w:lang w:eastAsia="sk-SK"/>
        </w:rPr>
        <w:t xml:space="preserve">ožiadaviek zadaných Užívateľom s požiadavkami zadanými jeho </w:t>
      </w:r>
      <w:r w:rsidRPr="000E28C9">
        <w:rPr>
          <w:rFonts w:ascii="Arial" w:eastAsia="Times New Roman" w:hAnsi="Arial" w:cs="Arial"/>
          <w:noProof/>
          <w:lang w:eastAsia="sk-SK"/>
        </w:rPr>
        <w:t xml:space="preserve">zahraničným partnerom/partnermi susednému operátorovi PS. </w:t>
      </w:r>
      <w:r w:rsidRPr="000E28C9">
        <w:rPr>
          <w:rFonts w:ascii="Arial" w:eastAsia="Times New Roman" w:hAnsi="Arial" w:cs="Arial"/>
          <w:lang w:eastAsia="sk-SK"/>
        </w:rPr>
        <w:t xml:space="preserve"> Ak sú v procese </w:t>
      </w:r>
      <w:r w:rsidRPr="000E28C9">
        <w:rPr>
          <w:rFonts w:ascii="Arial" w:eastAsia="Times New Roman" w:hAnsi="Arial" w:cs="Arial"/>
          <w:noProof/>
          <w:lang w:eastAsia="sk-SK"/>
        </w:rPr>
        <w:t>zosúhlasenia identifikované nezosúhlasené hodnoty požiadaviek na prenos, resp. prekročenie kapacitných práv prislúchajúcich k určitému CAI, Damas Energy odošle všetkým dotknutým Užívateľom ANO indikujúci stav nezosúhlasenia. Užívateľovi bude doručený ANO vo forme emailu a správy v užívateľskom účte Užívateľa v rámci Damas Energy. Po doručení ANO majú dotknutí Užívatelia možnosť korigovať nezosúhlasené nominácie, a to v čase do 15:30 hod dňa D-1, tzv. Cut Off Time (ďalej len „COT“). Ak v uvedenom čase nedôjde zo strany dotknutých Užívateľov ku korekcii nezosúhlasených požiadaviek na prenos, v čase COT sú nezosúhlasené požiadavky upravené uplatnením pravidla nižších hodnôt (v prípade nesúhlasných hodnôt je akceptovaná nižšia hodnota) a v prípade prekročenia kapacitných práv uplatnením proporcionálneho krátenia všetkých požiadaviek využívajúcich rovnaký CAI kód. Zosúhlasené hodnoty požiadaviek na prenos sú Užívateľovi potvrdené prostredníctvom final Confirmation Report (ďalej len „fCNF“). Užívateľovi bude doručený fCNF</w:t>
      </w:r>
      <w:r w:rsidRPr="000E28C9">
        <w:rPr>
          <w:rFonts w:ascii="Arial" w:eastAsia="Times New Roman" w:hAnsi="Arial" w:cs="Arial"/>
          <w:lang w:eastAsia="sk-SK"/>
        </w:rPr>
        <w:t xml:space="preserve"> vo forme emailu a správy v užívateľskom účte Užívateľa v rámci Damas Energy. Týmto je dohodnutý medzi Prevádzkovateľom PS a Užívateľom obchodný prípad na poskytnutie cezhraničného prenosu v rozsahu potvrdených požiadaviek.</w:t>
      </w:r>
    </w:p>
    <w:p w14:paraId="2AE67ADB" w14:textId="77777777" w:rsidR="000E28C9" w:rsidRDefault="000E28C9" w:rsidP="000E28C9">
      <w:pPr>
        <w:tabs>
          <w:tab w:val="num" w:pos="567"/>
        </w:tabs>
        <w:spacing w:after="0" w:line="240" w:lineRule="auto"/>
        <w:ind w:left="567"/>
        <w:jc w:val="both"/>
        <w:rPr>
          <w:rFonts w:ascii="Arial" w:eastAsia="Times New Roman" w:hAnsi="Arial" w:cs="Arial"/>
          <w:lang w:eastAsia="sk-SK"/>
        </w:rPr>
      </w:pPr>
    </w:p>
    <w:p w14:paraId="1CE99D14" w14:textId="77777777" w:rsidR="000E28C9" w:rsidRPr="000E28C9" w:rsidRDefault="000E28C9" w:rsidP="000E28C9">
      <w:pPr>
        <w:tabs>
          <w:tab w:val="num" w:pos="567"/>
        </w:tabs>
        <w:spacing w:after="0" w:line="240" w:lineRule="auto"/>
        <w:ind w:left="567"/>
        <w:jc w:val="both"/>
        <w:rPr>
          <w:rFonts w:ascii="Arial" w:eastAsia="Times New Roman" w:hAnsi="Arial" w:cs="Arial"/>
          <w:lang w:eastAsia="sk-SK"/>
        </w:rPr>
      </w:pPr>
    </w:p>
    <w:p w14:paraId="473E80A0" w14:textId="77777777" w:rsidR="008D17F2" w:rsidRDefault="008D17F2" w:rsidP="000E28C9"/>
    <w:p w14:paraId="0027CA8E" w14:textId="77777777" w:rsidR="00DC756B" w:rsidRPr="00DC756B" w:rsidRDefault="00DC756B" w:rsidP="00DC756B">
      <w:pPr>
        <w:jc w:val="center"/>
      </w:pPr>
    </w:p>
    <w:sectPr w:rsidR="00DC756B" w:rsidRPr="00DC75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0890" w14:textId="77777777" w:rsidR="00233D84" w:rsidRDefault="00233D84" w:rsidP="003375EB">
      <w:pPr>
        <w:spacing w:after="0" w:line="240" w:lineRule="auto"/>
      </w:pPr>
      <w:r>
        <w:separator/>
      </w:r>
    </w:p>
  </w:endnote>
  <w:endnote w:type="continuationSeparator" w:id="0">
    <w:p w14:paraId="02E3BB90" w14:textId="77777777" w:rsidR="00233D84" w:rsidRDefault="00233D84" w:rsidP="0033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862478684"/>
      <w:docPartObj>
        <w:docPartGallery w:val="Page Numbers (Bottom of Page)"/>
        <w:docPartUnique/>
      </w:docPartObj>
    </w:sdtPr>
    <w:sdtEndPr>
      <w:rPr>
        <w:sz w:val="18"/>
        <w:szCs w:val="18"/>
      </w:rPr>
    </w:sdtEndPr>
    <w:sdtContent>
      <w:p w14:paraId="273238F6" w14:textId="00894F13" w:rsidR="000E28C9" w:rsidRPr="0092104D" w:rsidRDefault="000E28C9" w:rsidP="000E28C9">
        <w:pPr>
          <w:pStyle w:val="Pta"/>
          <w:rPr>
            <w:i/>
            <w:sz w:val="18"/>
            <w:szCs w:val="18"/>
          </w:rPr>
        </w:pPr>
        <w:r w:rsidRPr="0092104D">
          <w:rPr>
            <w:rFonts w:ascii="Arial" w:hAnsi="Arial" w:cs="Arial"/>
            <w:i/>
            <w:sz w:val="18"/>
            <w:szCs w:val="18"/>
          </w:rPr>
          <w:t>Príloha č. 5 k Rámcovej zmluve o prenose elektriny cez spojovacie vedenia</w:t>
        </w:r>
        <w:r w:rsidRPr="0092104D">
          <w:rPr>
            <w:i/>
          </w:rPr>
          <w:t xml:space="preserve"> </w:t>
        </w:r>
        <w:r w:rsidRPr="0092104D">
          <w:rPr>
            <w:i/>
          </w:rPr>
          <w:tab/>
        </w:r>
        <w:r w:rsidRPr="0092104D">
          <w:rPr>
            <w:i/>
            <w:sz w:val="18"/>
            <w:szCs w:val="18"/>
          </w:rPr>
          <w:fldChar w:fldCharType="begin"/>
        </w:r>
        <w:r w:rsidRPr="0092104D">
          <w:rPr>
            <w:i/>
            <w:sz w:val="18"/>
            <w:szCs w:val="18"/>
          </w:rPr>
          <w:instrText>PAGE   \* MERGEFORMAT</w:instrText>
        </w:r>
        <w:r w:rsidRPr="0092104D">
          <w:rPr>
            <w:i/>
            <w:sz w:val="18"/>
            <w:szCs w:val="18"/>
          </w:rPr>
          <w:fldChar w:fldCharType="separate"/>
        </w:r>
        <w:r w:rsidRPr="0092104D">
          <w:rPr>
            <w:i/>
            <w:sz w:val="18"/>
            <w:szCs w:val="18"/>
          </w:rPr>
          <w:t>2</w:t>
        </w:r>
        <w:r w:rsidRPr="0092104D">
          <w:rPr>
            <w:i/>
            <w:sz w:val="18"/>
            <w:szCs w:val="18"/>
          </w:rPr>
          <w:fldChar w:fldCharType="end"/>
        </w:r>
        <w:r w:rsidRPr="0092104D">
          <w:rPr>
            <w:i/>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6679" w14:textId="77777777" w:rsidR="00233D84" w:rsidRDefault="00233D84" w:rsidP="003375EB">
      <w:pPr>
        <w:spacing w:after="0" w:line="240" w:lineRule="auto"/>
      </w:pPr>
      <w:r>
        <w:separator/>
      </w:r>
    </w:p>
  </w:footnote>
  <w:footnote w:type="continuationSeparator" w:id="0">
    <w:p w14:paraId="6CADFFCC" w14:textId="77777777" w:rsidR="00233D84" w:rsidRDefault="00233D84" w:rsidP="00337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64B9"/>
    <w:multiLevelType w:val="hybridMultilevel"/>
    <w:tmpl w:val="800857A8"/>
    <w:lvl w:ilvl="0" w:tplc="041B0017">
      <w:start w:val="1"/>
      <w:numFmt w:val="decimal"/>
      <w:lvlText w:val="%1)"/>
      <w:lvlJc w:val="left"/>
      <w:pPr>
        <w:tabs>
          <w:tab w:val="num" w:pos="-1000"/>
        </w:tabs>
        <w:ind w:left="-1020" w:hanging="340"/>
      </w:pPr>
      <w:rPr>
        <w:rFonts w:hint="default"/>
      </w:rPr>
    </w:lvl>
    <w:lvl w:ilvl="1" w:tplc="041B0019">
      <w:start w:val="1"/>
      <w:numFmt w:val="lowerLetter"/>
      <w:lvlText w:val="%2)"/>
      <w:lvlJc w:val="left"/>
      <w:pPr>
        <w:ind w:left="1440" w:hanging="360"/>
      </w:pPr>
    </w:lvl>
    <w:lvl w:ilvl="2" w:tplc="041B001B">
      <w:start w:val="1"/>
      <w:numFmt w:val="lowerLetter"/>
      <w:lvlText w:val="a%3)"/>
      <w:lvlJc w:val="left"/>
      <w:pPr>
        <w:ind w:left="2160" w:hanging="180"/>
      </w:pPr>
      <w:rPr>
        <w:rFonts w:hint="default"/>
      </w:rPr>
    </w:lvl>
    <w:lvl w:ilvl="3" w:tplc="041B000F">
      <w:start w:val="2"/>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start w:val="1"/>
      <w:numFmt w:val="lowerLetter"/>
      <w:lvlText w:val="%6)"/>
      <w:lvlJc w:val="left"/>
      <w:pPr>
        <w:ind w:left="4320" w:hanging="180"/>
      </w:pPr>
    </w:lvl>
    <w:lvl w:ilvl="6" w:tplc="041B000F" w:tentative="1">
      <w:start w:val="1"/>
      <w:numFmt w:val="decimal"/>
      <w:lvlText w:val="%7."/>
      <w:lvlJc w:val="left"/>
      <w:pPr>
        <w:ind w:left="5040" w:hanging="360"/>
      </w:pPr>
    </w:lvl>
    <w:lvl w:ilvl="7" w:tplc="041B0019">
      <w:start w:val="1"/>
      <w:numFmt w:val="decimal"/>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E806C42"/>
    <w:multiLevelType w:val="hybridMultilevel"/>
    <w:tmpl w:val="C0F4F30C"/>
    <w:lvl w:ilvl="0" w:tplc="B2A87778">
      <w:start w:val="1"/>
      <w:numFmt w:val="decimal"/>
      <w:lvlText w:val="%1)"/>
      <w:lvlJc w:val="left"/>
      <w:pPr>
        <w:tabs>
          <w:tab w:val="num" w:pos="360"/>
        </w:tabs>
        <w:ind w:left="340" w:hanging="340"/>
      </w:pPr>
      <w:rPr>
        <w:rFonts w:hint="default"/>
      </w:rPr>
    </w:lvl>
    <w:lvl w:ilvl="1" w:tplc="9C644944">
      <w:start w:val="1"/>
      <w:numFmt w:val="lowerLetter"/>
      <w:lvlText w:val="%2)"/>
      <w:lvlJc w:val="left"/>
      <w:pPr>
        <w:tabs>
          <w:tab w:val="num" w:pos="794"/>
        </w:tabs>
        <w:ind w:left="794" w:hanging="454"/>
      </w:pPr>
      <w:rPr>
        <w:rFonts w:ascii="Times New Roman" w:eastAsia="Times New Roman" w:hAnsi="Times New Roman" w:cs="Times New Roman"/>
      </w:rPr>
    </w:lvl>
    <w:lvl w:ilvl="2" w:tplc="12C8FBE2">
      <w:start w:val="1"/>
      <w:numFmt w:val="bullet"/>
      <w:lvlText w:val=""/>
      <w:lvlJc w:val="left"/>
      <w:pPr>
        <w:tabs>
          <w:tab w:val="num" w:pos="1361"/>
        </w:tabs>
        <w:ind w:left="1361" w:hanging="567"/>
      </w:pPr>
      <w:rPr>
        <w:rFonts w:ascii="Symbol" w:hAnsi="Symbol" w:hint="default"/>
      </w:rPr>
    </w:lvl>
    <w:lvl w:ilvl="3" w:tplc="ABB26C0C">
      <w:start w:val="2"/>
      <w:numFmt w:val="lowerLetter"/>
      <w:lvlText w:val="%4)"/>
      <w:lvlJc w:val="left"/>
      <w:pPr>
        <w:tabs>
          <w:tab w:val="num" w:pos="794"/>
        </w:tabs>
        <w:ind w:left="794" w:hanging="454"/>
      </w:pPr>
      <w:rPr>
        <w:rFonts w:hint="default"/>
      </w:rPr>
    </w:lvl>
    <w:lvl w:ilvl="4" w:tplc="8DDA5E50">
      <w:start w:val="2"/>
      <w:numFmt w:val="decimal"/>
      <w:lvlText w:val="%5)"/>
      <w:lvlJc w:val="left"/>
      <w:pPr>
        <w:tabs>
          <w:tab w:val="num" w:pos="360"/>
        </w:tabs>
        <w:ind w:left="340" w:hanging="340"/>
      </w:pPr>
      <w:rPr>
        <w:rFonts w:hint="default"/>
      </w:rPr>
    </w:lvl>
    <w:lvl w:ilvl="5" w:tplc="8A847EFA">
      <w:start w:val="1"/>
      <w:numFmt w:val="lowerLetter"/>
      <w:lvlText w:val="%6)"/>
      <w:lvlJc w:val="left"/>
      <w:pPr>
        <w:tabs>
          <w:tab w:val="num" w:pos="794"/>
        </w:tabs>
        <w:ind w:left="794" w:hanging="454"/>
      </w:pPr>
      <w:rPr>
        <w:rFonts w:hint="default"/>
      </w:rPr>
    </w:lvl>
    <w:lvl w:ilvl="6" w:tplc="D20CC97C">
      <w:start w:val="1"/>
      <w:numFmt w:val="lowerLetter"/>
      <w:lvlText w:val="b%7)"/>
      <w:lvlJc w:val="left"/>
      <w:pPr>
        <w:tabs>
          <w:tab w:val="num" w:pos="1361"/>
        </w:tabs>
        <w:ind w:left="1361" w:hanging="567"/>
      </w:pPr>
      <w:rPr>
        <w:rFonts w:hint="default"/>
      </w:rPr>
    </w:lvl>
    <w:lvl w:ilvl="7" w:tplc="530C8E5A">
      <w:start w:val="3"/>
      <w:numFmt w:val="decimal"/>
      <w:lvlText w:val="%8)"/>
      <w:lvlJc w:val="left"/>
      <w:pPr>
        <w:tabs>
          <w:tab w:val="num" w:pos="360"/>
        </w:tabs>
        <w:ind w:left="340" w:hanging="340"/>
      </w:pPr>
      <w:rPr>
        <w:rFonts w:hint="default"/>
      </w:rPr>
    </w:lvl>
    <w:lvl w:ilvl="8" w:tplc="7BF04C34">
      <w:start w:val="1"/>
      <w:numFmt w:val="lowerLetter"/>
      <w:lvlText w:val="%9)"/>
      <w:lvlJc w:val="left"/>
      <w:pPr>
        <w:tabs>
          <w:tab w:val="num" w:pos="794"/>
        </w:tabs>
        <w:ind w:left="794" w:hanging="454"/>
      </w:pPr>
      <w:rPr>
        <w:rFonts w:hint="default"/>
      </w:rPr>
    </w:lvl>
  </w:abstractNum>
  <w:abstractNum w:abstractNumId="2" w15:restartNumberingAfterBreak="0">
    <w:nsid w:val="76C071B8"/>
    <w:multiLevelType w:val="hybridMultilevel"/>
    <w:tmpl w:val="1B7E2B2E"/>
    <w:lvl w:ilvl="0" w:tplc="EAFC4B1E">
      <w:start w:val="1"/>
      <w:numFmt w:val="decimal"/>
      <w:lvlText w:val="%1)"/>
      <w:lvlJc w:val="left"/>
      <w:pPr>
        <w:tabs>
          <w:tab w:val="num" w:pos="360"/>
        </w:tabs>
        <w:ind w:left="340" w:hanging="340"/>
      </w:pPr>
      <w:rPr>
        <w:rFonts w:hint="default"/>
      </w:rPr>
    </w:lvl>
    <w:lvl w:ilvl="1" w:tplc="041B0019">
      <w:start w:val="1"/>
      <w:numFmt w:val="lowerLetter"/>
      <w:lvlText w:val="%2)"/>
      <w:lvlJc w:val="left"/>
      <w:pPr>
        <w:tabs>
          <w:tab w:val="num" w:pos="794"/>
        </w:tabs>
        <w:ind w:left="794" w:hanging="454"/>
      </w:pPr>
      <w:rPr>
        <w:rFonts w:ascii="Times New Roman" w:eastAsia="Times New Roman" w:hAnsi="Times New Roman" w:cs="Times New Roman"/>
      </w:rPr>
    </w:lvl>
    <w:lvl w:ilvl="2" w:tplc="041B001B">
      <w:start w:val="1"/>
      <w:numFmt w:val="lowerLetter"/>
      <w:lvlText w:val="a%3)"/>
      <w:lvlJc w:val="left"/>
      <w:pPr>
        <w:tabs>
          <w:tab w:val="num" w:pos="1361"/>
        </w:tabs>
        <w:ind w:left="1361" w:hanging="567"/>
      </w:pPr>
      <w:rPr>
        <w:rFonts w:hint="default"/>
      </w:rPr>
    </w:lvl>
    <w:lvl w:ilvl="3" w:tplc="041B000F">
      <w:start w:val="2"/>
      <w:numFmt w:val="lowerLetter"/>
      <w:lvlText w:val="%4)"/>
      <w:lvlJc w:val="left"/>
      <w:pPr>
        <w:tabs>
          <w:tab w:val="num" w:pos="794"/>
        </w:tabs>
        <w:ind w:left="794" w:hanging="454"/>
      </w:pPr>
      <w:rPr>
        <w:rFonts w:hint="default"/>
      </w:rPr>
    </w:lvl>
    <w:lvl w:ilvl="4" w:tplc="041B0019">
      <w:start w:val="2"/>
      <w:numFmt w:val="decimal"/>
      <w:lvlText w:val="%5)"/>
      <w:lvlJc w:val="left"/>
      <w:pPr>
        <w:tabs>
          <w:tab w:val="num" w:pos="360"/>
        </w:tabs>
        <w:ind w:left="340" w:hanging="340"/>
      </w:pPr>
      <w:rPr>
        <w:rFonts w:hint="default"/>
      </w:rPr>
    </w:lvl>
    <w:lvl w:ilvl="5" w:tplc="041B001B">
      <w:start w:val="1"/>
      <w:numFmt w:val="lowerLetter"/>
      <w:lvlText w:val="%6)"/>
      <w:lvlJc w:val="left"/>
      <w:pPr>
        <w:tabs>
          <w:tab w:val="num" w:pos="794"/>
        </w:tabs>
        <w:ind w:left="794" w:hanging="454"/>
      </w:pPr>
      <w:rPr>
        <w:rFonts w:hint="default"/>
      </w:rPr>
    </w:lvl>
    <w:lvl w:ilvl="6" w:tplc="041B000F">
      <w:start w:val="1"/>
      <w:numFmt w:val="bullet"/>
      <w:lvlText w:val=""/>
      <w:lvlJc w:val="left"/>
      <w:pPr>
        <w:tabs>
          <w:tab w:val="num" w:pos="1361"/>
        </w:tabs>
        <w:ind w:left="1361" w:hanging="567"/>
      </w:pPr>
      <w:rPr>
        <w:rFonts w:ascii="Symbol" w:hAnsi="Symbol" w:hint="default"/>
      </w:rPr>
    </w:lvl>
    <w:lvl w:ilvl="7" w:tplc="041B0019">
      <w:start w:val="3"/>
      <w:numFmt w:val="decimal"/>
      <w:lvlText w:val="%8)"/>
      <w:lvlJc w:val="left"/>
      <w:pPr>
        <w:tabs>
          <w:tab w:val="num" w:pos="360"/>
        </w:tabs>
        <w:ind w:left="340" w:hanging="340"/>
      </w:pPr>
      <w:rPr>
        <w:rFonts w:hint="default"/>
      </w:rPr>
    </w:lvl>
    <w:lvl w:ilvl="8" w:tplc="041B001B">
      <w:start w:val="1"/>
      <w:numFmt w:val="lowerLetter"/>
      <w:lvlText w:val="%9)"/>
      <w:lvlJc w:val="left"/>
      <w:pPr>
        <w:tabs>
          <w:tab w:val="num" w:pos="794"/>
        </w:tabs>
        <w:ind w:left="794" w:hanging="454"/>
      </w:pPr>
      <w:rPr>
        <w:rFonts w:hint="default"/>
      </w:rPr>
    </w:lvl>
  </w:abstractNum>
  <w:num w:numId="1" w16cid:durableId="528225458">
    <w:abstractNumId w:val="1"/>
  </w:num>
  <w:num w:numId="2" w16cid:durableId="815532572">
    <w:abstractNumId w:val="2"/>
  </w:num>
  <w:num w:numId="3" w16cid:durableId="2097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84"/>
    <w:rsid w:val="000246EE"/>
    <w:rsid w:val="00062851"/>
    <w:rsid w:val="000E28C9"/>
    <w:rsid w:val="00233D84"/>
    <w:rsid w:val="00265FE7"/>
    <w:rsid w:val="003375EB"/>
    <w:rsid w:val="00357288"/>
    <w:rsid w:val="008D17F2"/>
    <w:rsid w:val="0092104D"/>
    <w:rsid w:val="00DA160B"/>
    <w:rsid w:val="00DC7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2800"/>
  <w15:chartTrackingRefBased/>
  <w15:docId w15:val="{CA4F1ECD-3AF5-42E2-AD3C-10B4A6E7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233D84"/>
    <w:pPr>
      <w:tabs>
        <w:tab w:val="center" w:pos="4536"/>
        <w:tab w:val="right" w:pos="9072"/>
      </w:tabs>
      <w:spacing w:after="0" w:line="240" w:lineRule="auto"/>
      <w:jc w:val="both"/>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233D84"/>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33D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D84"/>
  </w:style>
  <w:style w:type="character" w:styleId="Odkaznakomentr">
    <w:name w:val="annotation reference"/>
    <w:semiHidden/>
    <w:rsid w:val="00062851"/>
    <w:rPr>
      <w:sz w:val="16"/>
      <w:szCs w:val="16"/>
    </w:rPr>
  </w:style>
  <w:style w:type="paragraph" w:styleId="Textkomentra">
    <w:name w:val="annotation text"/>
    <w:basedOn w:val="Normlny"/>
    <w:link w:val="TextkomentraChar"/>
    <w:semiHidden/>
    <w:rsid w:val="00062851"/>
    <w:pPr>
      <w:spacing w:after="0" w:line="240" w:lineRule="auto"/>
      <w:jc w:val="both"/>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semiHidden/>
    <w:rsid w:val="00062851"/>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sa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A3B7-BAF3-4440-B89F-F664556E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930</Words>
  <Characters>5305</Characters>
  <Application>Microsoft Office Word</Application>
  <DocSecurity>0</DocSecurity>
  <Lines>44</Lines>
  <Paragraphs>12</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Príloha č. 5 Časový priebeh dohodnutia obchodného prípadu na profile SK/UA</vt:lpstr>
    </vt:vector>
  </TitlesOfParts>
  <Company>Slovenska elektrizacna prenosova sustava, a.s.</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Husáková Soňa</dc:creator>
  <cp:keywords/>
  <dc:description/>
  <cp:lastModifiedBy>Husáková Soňa</cp:lastModifiedBy>
  <cp:revision>4</cp:revision>
  <cp:lastPrinted>2024-01-22T12:02:00Z</cp:lastPrinted>
  <dcterms:created xsi:type="dcterms:W3CDTF">2024-01-22T10:38:00Z</dcterms:created>
  <dcterms:modified xsi:type="dcterms:W3CDTF">2024-01-25T08:04:00Z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2024-01-22T12:26:30Z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56a06776-e7aa-4173-878a-6de6c4aaa9c7</vt:lpwstr>
  </property>
  <property fmtid="{D5CDD505-2E9C-101B-9397-08002B2CF9AE}" pid="8" name="MSIP_Label_2e585759-362d-4185-bb50-fc81b58bf15d_ContentBits">
    <vt:lpwstr>0</vt:lpwstr>
  </property>
</Properties>
</file>