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DB430" w14:textId="77777777" w:rsidR="00C5101D" w:rsidRDefault="00C5101D" w:rsidP="00C5101D">
      <w:pPr>
        <w:rPr>
          <w:rFonts w:ascii="Arial" w:hAnsi="Arial" w:cs="Arial"/>
          <w:b/>
          <w:bCs/>
        </w:rPr>
      </w:pPr>
      <w:r w:rsidRPr="00A8380D">
        <w:rPr>
          <w:rFonts w:ascii="Arial" w:hAnsi="Arial" w:cs="Arial"/>
          <w:b/>
          <w:bCs/>
        </w:rPr>
        <w:t>Opis predmetu zákazky:</w:t>
      </w:r>
    </w:p>
    <w:p w14:paraId="0E4E968F" w14:textId="77777777" w:rsidR="00C60B5B" w:rsidRPr="00A8380D" w:rsidRDefault="00C60B5B" w:rsidP="00C5101D">
      <w:pPr>
        <w:rPr>
          <w:rFonts w:ascii="Arial" w:hAnsi="Arial" w:cs="Arial"/>
          <w:b/>
          <w:bCs/>
        </w:rPr>
      </w:pPr>
    </w:p>
    <w:p w14:paraId="411BBF6F" w14:textId="4CBCA138" w:rsidR="00C5101D" w:rsidRDefault="00C5101D" w:rsidP="00C5101D">
      <w:pPr>
        <w:spacing w:after="120" w:line="252" w:lineRule="auto"/>
        <w:jc w:val="both"/>
      </w:pPr>
      <w:r>
        <w:rPr>
          <w:rFonts w:ascii="Arial" w:hAnsi="Arial" w:cs="Arial"/>
        </w:rPr>
        <w:t xml:space="preserve">Predmetom tejto investície je </w:t>
      </w:r>
      <w:r w:rsidR="001E089A" w:rsidRPr="001E089A">
        <w:rPr>
          <w:rFonts w:ascii="Arial" w:hAnsi="Arial" w:cs="Arial"/>
        </w:rPr>
        <w:t xml:space="preserve">výstavba nového vedenia 2x400 kV </w:t>
      </w:r>
      <w:r w:rsidR="00B97CBB" w:rsidRPr="001E089A">
        <w:rPr>
          <w:rFonts w:ascii="Arial" w:hAnsi="Arial" w:cs="Arial"/>
        </w:rPr>
        <w:t>(</w:t>
      </w:r>
      <w:r w:rsidR="006F50B4" w:rsidRPr="004528AF">
        <w:rPr>
          <w:rFonts w:ascii="Arial" w:hAnsi="Arial" w:cs="Arial"/>
        </w:rPr>
        <w:t xml:space="preserve">cca </w:t>
      </w:r>
      <w:r w:rsidR="006F50B4" w:rsidRPr="00A46958">
        <w:rPr>
          <w:rFonts w:ascii="Arial" w:hAnsi="Arial" w:cs="Arial"/>
        </w:rPr>
        <w:t>57,379</w:t>
      </w:r>
      <w:r w:rsidR="006F50B4">
        <w:rPr>
          <w:rFonts w:ascii="Arial" w:hAnsi="Arial" w:cs="Arial"/>
        </w:rPr>
        <w:t xml:space="preserve"> </w:t>
      </w:r>
      <w:r w:rsidR="006F50B4" w:rsidRPr="004528AF">
        <w:rPr>
          <w:rFonts w:ascii="Arial" w:hAnsi="Arial" w:cs="Arial"/>
        </w:rPr>
        <w:t>km</w:t>
      </w:r>
      <w:r w:rsidR="00B97CBB" w:rsidRPr="001E089A">
        <w:rPr>
          <w:rFonts w:ascii="Arial" w:hAnsi="Arial" w:cs="Arial"/>
        </w:rPr>
        <w:t>)</w:t>
      </w:r>
      <w:r w:rsidR="006F50B4" w:rsidRPr="004528AF">
        <w:rPr>
          <w:rFonts w:ascii="Arial" w:hAnsi="Arial" w:cs="Arial"/>
        </w:rPr>
        <w:t xml:space="preserve"> </w:t>
      </w:r>
      <w:r w:rsidR="001E089A" w:rsidRPr="001E089A">
        <w:rPr>
          <w:rFonts w:ascii="Arial" w:hAnsi="Arial" w:cs="Arial"/>
        </w:rPr>
        <w:t>s minimálnou prenosovou schopnosťou 2x 2 400 A, od ESt Spišská Nová Ves (ďalej len „SPNV“) po ESt Lemešany prevažne v koridore existujúceho vedenia 220 kV č. V273. Dĺžka vedenia V273 od ESt SPNV pod ESt Lemešany v ktorom sa plánuje vybudovať nové vedenie 2x400 kV je cca 46,73 km, zvyšok trasy (cca 11 km) pred ESt Lemešany bude vedený súbežne s V408 (od pb. č. 534 po portál v ESt Lemešany). Zdvojenie tohto úseku výrazne zlepší bezpečnosť a spoľahlivosť napájania ESt SPNV a prispeje k bezpečnosti zásobovania východnej časti Slovenska posilnením prepojenia prebytkovej západnej časti PS SR s nedostatkovou východnou časťou PS SR. Vedenie bude vybudované na stožiaroch typu DONAU.</w:t>
      </w:r>
    </w:p>
    <w:p w14:paraId="608BEBE6" w14:textId="73AD1EF1" w:rsidR="00C5101D" w:rsidRPr="00412F49" w:rsidRDefault="001E089A" w:rsidP="001E089A">
      <w:pPr>
        <w:pStyle w:val="Zkladntext3"/>
        <w:spacing w:line="252" w:lineRule="auto"/>
        <w:rPr>
          <w:rFonts w:cs="Arial"/>
          <w:b/>
          <w:bCs/>
          <w:szCs w:val="22"/>
        </w:rPr>
      </w:pPr>
      <w:r>
        <w:rPr>
          <w:rFonts w:cs="Arial"/>
          <w:b/>
          <w:bCs/>
          <w:szCs w:val="22"/>
        </w:rPr>
        <w:t>S</w:t>
      </w:r>
      <w:r w:rsidR="00C5101D" w:rsidRPr="00412F49">
        <w:rPr>
          <w:rFonts w:cs="Arial"/>
          <w:b/>
          <w:bCs/>
          <w:szCs w:val="22"/>
        </w:rPr>
        <w:t xml:space="preserve">tavba – </w:t>
      </w:r>
      <w:r w:rsidR="00247834" w:rsidRPr="00247834">
        <w:rPr>
          <w:rFonts w:cs="Arial"/>
          <w:b/>
          <w:bCs/>
          <w:szCs w:val="22"/>
        </w:rPr>
        <w:t>Zdvojenie vedenia V408</w:t>
      </w:r>
    </w:p>
    <w:p w14:paraId="4350DDC8" w14:textId="77777777" w:rsidR="00835AD6" w:rsidRPr="00835AD6" w:rsidRDefault="00835AD6" w:rsidP="00835AD6">
      <w:pPr>
        <w:pStyle w:val="Zkladntext3"/>
        <w:numPr>
          <w:ilvl w:val="0"/>
          <w:numId w:val="4"/>
        </w:numPr>
        <w:spacing w:line="252" w:lineRule="auto"/>
        <w:rPr>
          <w:rFonts w:cs="Arial"/>
        </w:rPr>
      </w:pPr>
      <w:r w:rsidRPr="00835AD6">
        <w:rPr>
          <w:rFonts w:cs="Arial"/>
        </w:rPr>
        <w:t>demontáž a demolácia vedenia 1x220 kV V273 od ESt SPNV po ESt Lemešany v dĺžke cca 46,73 km,</w:t>
      </w:r>
    </w:p>
    <w:p w14:paraId="1059174D" w14:textId="77777777" w:rsidR="00835AD6" w:rsidRPr="00835AD6" w:rsidRDefault="00835AD6" w:rsidP="00835AD6">
      <w:pPr>
        <w:pStyle w:val="Zkladntext3"/>
        <w:numPr>
          <w:ilvl w:val="0"/>
          <w:numId w:val="4"/>
        </w:numPr>
        <w:spacing w:line="252" w:lineRule="auto"/>
        <w:rPr>
          <w:rFonts w:cs="Arial"/>
        </w:rPr>
      </w:pPr>
      <w:r w:rsidRPr="00835AD6">
        <w:rPr>
          <w:rFonts w:cs="Arial"/>
        </w:rPr>
        <w:t>demontáž a demolácia vedenia 1x400 kV V408 v dĺžke cca 3,13 km (pb č. 377b-380b, 454, 455,  467, 537, 538, 544 a 545)</w:t>
      </w:r>
    </w:p>
    <w:p w14:paraId="44DFB00D" w14:textId="77777777" w:rsidR="00835AD6" w:rsidRPr="00835AD6" w:rsidRDefault="00835AD6" w:rsidP="00835AD6">
      <w:pPr>
        <w:pStyle w:val="Zkladntext3"/>
        <w:numPr>
          <w:ilvl w:val="0"/>
          <w:numId w:val="4"/>
        </w:numPr>
        <w:rPr>
          <w:rFonts w:cs="Arial"/>
        </w:rPr>
      </w:pPr>
      <w:r w:rsidRPr="00835AD6">
        <w:rPr>
          <w:rFonts w:cs="Arial"/>
        </w:rPr>
        <w:t>vybudovanie vedenia 2x400 kV typu DONAU prevažne v osi vedenia V273 od ESt SPNV po ESt Lemešany.</w:t>
      </w:r>
    </w:p>
    <w:p w14:paraId="0A614AAA" w14:textId="77777777" w:rsidR="00C5101D" w:rsidRDefault="00C5101D" w:rsidP="00C5101D">
      <w:pPr>
        <w:pStyle w:val="Zkladntext3"/>
        <w:spacing w:before="0" w:line="252" w:lineRule="auto"/>
        <w:rPr>
          <w:rFonts w:cs="Arial"/>
          <w:szCs w:val="22"/>
        </w:rPr>
      </w:pPr>
    </w:p>
    <w:p w14:paraId="671B2A20" w14:textId="77777777" w:rsidR="00B706FE" w:rsidRPr="00B706FE" w:rsidRDefault="00B706FE" w:rsidP="00B706FE">
      <w:pPr>
        <w:spacing w:before="120" w:after="120" w:line="252" w:lineRule="auto"/>
        <w:jc w:val="both"/>
        <w:rPr>
          <w:rFonts w:ascii="Arial" w:hAnsi="Arial" w:cs="Arial"/>
        </w:rPr>
      </w:pPr>
      <w:bookmarkStart w:id="0" w:name="_Hlk164844651"/>
      <w:r w:rsidRPr="00B706FE">
        <w:rPr>
          <w:rFonts w:ascii="Arial" w:hAnsi="Arial" w:cs="Arial"/>
        </w:rPr>
        <w:t xml:space="preserve">Trasa nového úseku vedenia 2x400 kV je uvažovaná prevažne v osi vedenia V273 a začína na portáli v poli č. 5 a 6 v ESt SPNV pokračuje kopcovitým terénom nad mestom Spišská Nová Ves, okolo obcí Harichovce, Odorín, Danišovce, Jamník, Spišský Hrušov, Hincovce, Bystrany, Spišské Valachy, Slatvina, Vojkovce, Hrišovce, Richnava, Kluknava, Víťaz, Hrabkov, Klenov, Miklušovce, Sedlice, Suchá Dolina, Ľubovce, Ruské Pekľany, Radatice. V kú obce Ličartovce vybočuje od koridoru V273 a pokračuje popri pôvodnom koridore V408 okolo obce Obišovce smerom do ESt Lemešany. Trasa končí na portáli v novom poli č. 1 a č. 2 (pôvodné pole č. 1) v ESt Lemešany. Celá trasa plánovaného vedenia 2x400 kV je zálohovaná v ÚPN VÚC Košického samosprávneho kraja ako aj Prešovského. Predpokladaná dĺžka nového vedenia 2x400 kV bude cca 57,379 km. Koridor vstupuje aj do intravilánu niektorých obcí. </w:t>
      </w:r>
    </w:p>
    <w:p w14:paraId="182BF720" w14:textId="77777777" w:rsidR="00B706FE" w:rsidRPr="00B706FE" w:rsidRDefault="00B706FE" w:rsidP="00B706FE">
      <w:pPr>
        <w:spacing w:before="120" w:after="120" w:line="252" w:lineRule="auto"/>
        <w:jc w:val="both"/>
        <w:rPr>
          <w:rFonts w:ascii="Arial" w:hAnsi="Arial" w:cs="Arial"/>
        </w:rPr>
      </w:pPr>
      <w:r w:rsidRPr="00B706FE">
        <w:rPr>
          <w:rFonts w:ascii="Arial" w:hAnsi="Arial" w:cs="Arial"/>
        </w:rPr>
        <w:t>V novej trase, resp. v osi vedenia V273 a podľa potreby aj v súbehu s V408, sa vybudujú nové základy pre stožiare 2x400 kV, t. j. od ESt SPNV po ESt Lemešany. Následne sa na nové základy osadia drieky nových stožiarov. Počas budovania nových driekov sa úsek vedenia V273 od pb č. 376 po pb č. 521 a úseky vedenia V408 pb č. 537, 538, 544 a 545 zdemontuje a základy pôvodných stožiarov sa zdemolujú. Toto bude súčasť investičných nákladov na tento IPR (odhadovaný náklad je 6 534 000 EUR). Úsek vedenia od pb č. 376 po ESt Liptovská Mara bude demontovaný (predpokladá sa likvidácia z prevádzkových nákladov), z tohto dôvodu bude pb č. 376 zakotvený. Zvyšná časť vedenia V273 (od ESt Liptovská Mara po ESt Sučany) bude odpredaná do vlastníctva SSD. Úsek vedenia V273 od pb č. 521 po ESt Lemešany bude zdemontovaný a demolovaný z prevádzkových nákladov, rovnako ako úsek vedenia V408 od pb č. 377b po pb č. 380b, ako aj pb č. 454, 455 a 467 (odhadovaný náklad je 650 000 EUR). Na nové stožiarové miesta sa dobudujú stožiarové konštrukcie.</w:t>
      </w:r>
    </w:p>
    <w:p w14:paraId="46759775" w14:textId="63EF4BF5" w:rsidR="00B706FE" w:rsidRPr="00B706FE" w:rsidRDefault="00B706FE" w:rsidP="00B706FE">
      <w:pPr>
        <w:spacing w:before="120" w:after="120" w:line="252" w:lineRule="auto"/>
        <w:jc w:val="both"/>
        <w:rPr>
          <w:rFonts w:ascii="Arial" w:hAnsi="Arial" w:cs="Arial"/>
        </w:rPr>
      </w:pPr>
      <w:r w:rsidRPr="00B706FE">
        <w:rPr>
          <w:rFonts w:ascii="Arial" w:hAnsi="Arial" w:cs="Arial"/>
        </w:rPr>
        <w:t>Úsek nového vedenia 2x400 kV od pb č. 534 po portál v ESt L</w:t>
      </w:r>
      <w:r w:rsidR="00785A6A">
        <w:rPr>
          <w:rFonts w:ascii="Arial" w:hAnsi="Arial" w:cs="Arial"/>
        </w:rPr>
        <w:t>emešany</w:t>
      </w:r>
      <w:r w:rsidRPr="00B706FE">
        <w:rPr>
          <w:rFonts w:ascii="Arial" w:hAnsi="Arial" w:cs="Arial"/>
        </w:rPr>
        <w:t xml:space="preserve"> vedenia V408 bude budovaný v súbehu s pôvodným koridorom V408 v dĺžke cca 4,8167 km vedenia.</w:t>
      </w:r>
    </w:p>
    <w:p w14:paraId="3178115D" w14:textId="77777777" w:rsidR="0023659D" w:rsidRDefault="00B706FE" w:rsidP="00B706FE">
      <w:pPr>
        <w:spacing w:before="120" w:after="120" w:line="252" w:lineRule="auto"/>
        <w:jc w:val="both"/>
        <w:rPr>
          <w:rFonts w:ascii="Arial" w:hAnsi="Arial" w:cs="Arial"/>
        </w:rPr>
      </w:pPr>
      <w:r w:rsidRPr="00B706FE">
        <w:rPr>
          <w:rFonts w:ascii="Arial" w:hAnsi="Arial" w:cs="Arial"/>
        </w:rPr>
        <w:t xml:space="preserve">Pred zaústením do ESt SPNV alebo Lemešany sa zrealizuje prestriedanie fáz vedení tak, resp. výmena strán vedení tak, aby v ESt SPNV bolo vedenie V408 zaústené do poľa č. 5 a vedenie V463 do nového poľa č. 6. V ESt Lemešany bude vedenie V408 zaústené do poľa č. 1 a </w:t>
      </w:r>
      <w:r w:rsidRPr="00B706FE">
        <w:rPr>
          <w:rFonts w:ascii="Arial" w:hAnsi="Arial" w:cs="Arial"/>
        </w:rPr>
        <w:lastRenderedPageBreak/>
        <w:t>vedenie V463 do nového poľa č. XX (presné číslo poľa bude špecifikované v ďalšom stupni projektovej dokumentácie).</w:t>
      </w:r>
    </w:p>
    <w:p w14:paraId="28DA408C" w14:textId="77777777" w:rsidR="00F01055" w:rsidRPr="00785A6A" w:rsidRDefault="00F01055" w:rsidP="00F01055">
      <w:pPr>
        <w:spacing w:before="60" w:after="60" w:line="252" w:lineRule="auto"/>
        <w:jc w:val="both"/>
        <w:rPr>
          <w:rFonts w:ascii="Arial" w:hAnsi="Arial" w:cs="Arial"/>
          <w:b/>
          <w:bCs/>
        </w:rPr>
      </w:pPr>
      <w:r w:rsidRPr="00785A6A">
        <w:rPr>
          <w:rFonts w:ascii="Arial" w:hAnsi="Arial" w:cs="Arial"/>
          <w:b/>
          <w:bCs/>
        </w:rPr>
        <w:t>Kolízie a riziká v koridore V273:</w:t>
      </w:r>
    </w:p>
    <w:p w14:paraId="57EAFD65"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 xml:space="preserve">Prvé vybočenie od koridoru V273 je pri ESt SPNV, kde nový koridor smeruje k mestu SPNV a vracia sa ku koridoru V273 medzi pb č. 380 a 381. Toto vybočenie je z dôvodu zachovania napájania ESt SPNV pôvodným vedením V408. Dĺžka vybočenia je cca </w:t>
      </w:r>
      <w:r w:rsidRPr="009D5139">
        <w:rPr>
          <w:rFonts w:ascii="Arial" w:hAnsi="Arial" w:cs="Arial"/>
        </w:rPr>
        <w:t>1</w:t>
      </w:r>
      <w:r>
        <w:rPr>
          <w:rFonts w:ascii="Arial" w:hAnsi="Arial" w:cs="Arial"/>
        </w:rPr>
        <w:t>,</w:t>
      </w:r>
      <w:r w:rsidRPr="009D5139">
        <w:rPr>
          <w:rFonts w:ascii="Arial" w:hAnsi="Arial" w:cs="Arial"/>
        </w:rPr>
        <w:t>5243</w:t>
      </w:r>
      <w:r>
        <w:rPr>
          <w:rFonts w:ascii="Arial" w:hAnsi="Arial" w:cs="Arial"/>
        </w:rPr>
        <w:t xml:space="preserve"> km.</w:t>
      </w:r>
    </w:p>
    <w:p w14:paraId="6D07F0EB"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Druhé vybočenie je medzi pb č. 386 až 396 vedenia V273, ktoré obchádza niekoľko intravilánov obci (napr. Harichovce a Danišovce).</w:t>
      </w:r>
      <w:r w:rsidRPr="00DF3C31">
        <w:rPr>
          <w:rFonts w:ascii="Arial" w:hAnsi="Arial" w:cs="Arial"/>
        </w:rPr>
        <w:t xml:space="preserve"> </w:t>
      </w:r>
      <w:r>
        <w:rPr>
          <w:rFonts w:ascii="Arial" w:hAnsi="Arial" w:cs="Arial"/>
        </w:rPr>
        <w:t xml:space="preserve">Dĺžka vybočenia je cca </w:t>
      </w:r>
      <w:r w:rsidRPr="00056BAD">
        <w:rPr>
          <w:rFonts w:ascii="Arial" w:hAnsi="Arial" w:cs="Arial"/>
        </w:rPr>
        <w:t>3</w:t>
      </w:r>
      <w:r>
        <w:rPr>
          <w:rFonts w:ascii="Arial" w:hAnsi="Arial" w:cs="Arial"/>
        </w:rPr>
        <w:t>,</w:t>
      </w:r>
      <w:r w:rsidRPr="00056BAD">
        <w:rPr>
          <w:rFonts w:ascii="Arial" w:hAnsi="Arial" w:cs="Arial"/>
        </w:rPr>
        <w:t>5939</w:t>
      </w:r>
      <w:r>
        <w:rPr>
          <w:rFonts w:ascii="Arial" w:hAnsi="Arial" w:cs="Arial"/>
        </w:rPr>
        <w:t> km.</w:t>
      </w:r>
    </w:p>
    <w:p w14:paraId="64B2506B"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 xml:space="preserve">Tretie vybočenie (obchádzka obce Hrišovce) je medzi pb č. 450 až 453 vedenia V273. Tu sa koridor odkloní do trasy vedenia V273 kde sa v súbehu vybudujú nové stožiare na úrovni pb č. 454 a 455 vedenia V408. Na jednej strane nového úseku vedenia bude dočasne zapojené pôvodné vedenie V408 a na druhej strane nové vedenie V408, resp. V463. Po úspešnom napájaní ESt SPNV z ESt Lemešany bude starý úsek demontovaný a nahradený novým. Dĺžka vybočenia je cca </w:t>
      </w:r>
      <w:r w:rsidRPr="00056BAD">
        <w:rPr>
          <w:rFonts w:ascii="Arial" w:hAnsi="Arial" w:cs="Arial"/>
        </w:rPr>
        <w:t>1</w:t>
      </w:r>
      <w:r>
        <w:rPr>
          <w:rFonts w:ascii="Arial" w:hAnsi="Arial" w:cs="Arial"/>
        </w:rPr>
        <w:t>,</w:t>
      </w:r>
      <w:r w:rsidRPr="00056BAD">
        <w:rPr>
          <w:rFonts w:ascii="Arial" w:hAnsi="Arial" w:cs="Arial"/>
        </w:rPr>
        <w:t>7138</w:t>
      </w:r>
      <w:r>
        <w:rPr>
          <w:rFonts w:ascii="Arial" w:hAnsi="Arial" w:cs="Arial"/>
        </w:rPr>
        <w:t xml:space="preserve"> km.</w:t>
      </w:r>
    </w:p>
    <w:p w14:paraId="27C40C30"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Z dôvodu križovania pôvodného koridoru V408 s novým koridorom zdvojenej V408 (v trase V273), bude prvé dočasné prepojenie pôvodného vedenia V408 medzi pb č. 466 a V468. Križovanie bude realizované podchodovými dočasnými 400 kV by-passmi o dĺžke cca 500 m. Pb č. 467 vedenia V408 bude zdemontovaný.</w:t>
      </w:r>
    </w:p>
    <w:p w14:paraId="271455D2"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Štvrté možné vybočenie je pri obci Hrabkov, kde koridor V273 vstupuje do intravilánu obce. Tu je možnosť buď hľadať náhradnú trasu alebo pokračovať v koridore vedenia V273, pokiaľ nové pb nebudú umiestnené v intraviláne obce (aj napriek tomu, že ide o roh areálu existujúceho družstva). Tento fakt bude posúdený projektantom, resp. v rámci procesu EIA.</w:t>
      </w:r>
    </w:p>
    <w:p w14:paraId="522D1E99"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Posledné vybočenie od koridoru V273 je medzi pb č. 516 a 517 vedenia V273. Nový koridor odbočuje od vedenia V273 smerom ku pôvodnému koridoru V408 a križuje ho. Tu treba dočasne podchodovými 400 kV by-passmi zachovať pôvodný koridor a prevádzku V408.</w:t>
      </w:r>
      <w:r w:rsidRPr="0041459A">
        <w:rPr>
          <w:rFonts w:ascii="Arial" w:hAnsi="Arial" w:cs="Arial"/>
        </w:rPr>
        <w:t xml:space="preserve"> </w:t>
      </w:r>
      <w:r>
        <w:rPr>
          <w:rFonts w:ascii="Arial" w:hAnsi="Arial" w:cs="Arial"/>
        </w:rPr>
        <w:t xml:space="preserve">Dĺžka vybočenia je cca </w:t>
      </w:r>
      <w:r w:rsidRPr="0041459A">
        <w:rPr>
          <w:rFonts w:ascii="Arial" w:hAnsi="Arial" w:cs="Arial"/>
        </w:rPr>
        <w:t>4</w:t>
      </w:r>
      <w:r>
        <w:rPr>
          <w:rFonts w:ascii="Arial" w:hAnsi="Arial" w:cs="Arial"/>
        </w:rPr>
        <w:t>,</w:t>
      </w:r>
      <w:r w:rsidRPr="0041459A">
        <w:rPr>
          <w:rFonts w:ascii="Arial" w:hAnsi="Arial" w:cs="Arial"/>
        </w:rPr>
        <w:t>8167</w:t>
      </w:r>
      <w:r>
        <w:rPr>
          <w:rFonts w:ascii="Arial" w:hAnsi="Arial" w:cs="Arial"/>
        </w:rPr>
        <w:t xml:space="preserve"> km. </w:t>
      </w:r>
    </w:p>
    <w:p w14:paraId="27FBAE19" w14:textId="77777777" w:rsidR="00F01055" w:rsidRDefault="00F01055" w:rsidP="00F01055">
      <w:pPr>
        <w:pStyle w:val="Odsekzoznamu"/>
        <w:numPr>
          <w:ilvl w:val="0"/>
          <w:numId w:val="5"/>
        </w:numPr>
        <w:spacing w:before="60" w:after="60" w:line="252" w:lineRule="auto"/>
        <w:jc w:val="both"/>
        <w:rPr>
          <w:rFonts w:ascii="Arial" w:hAnsi="Arial" w:cs="Arial"/>
        </w:rPr>
      </w:pPr>
      <w:r>
        <w:rPr>
          <w:rFonts w:ascii="Arial" w:hAnsi="Arial" w:cs="Arial"/>
        </w:rPr>
        <w:t>Je potrebné brať ohľad aj na svahové nestability, ktoré sa nachádzajú medzi pb č. 451 až 452, medzi pb č. 463 až 466, medzi pb č. 488 až 491 vedenia V273.</w:t>
      </w:r>
    </w:p>
    <w:p w14:paraId="6C3B593A" w14:textId="0C44E210" w:rsidR="00C5101D" w:rsidRDefault="00F01055" w:rsidP="000E10F7">
      <w:pPr>
        <w:pStyle w:val="Odsekzoznamu"/>
        <w:numPr>
          <w:ilvl w:val="0"/>
          <w:numId w:val="5"/>
        </w:numPr>
        <w:spacing w:before="60" w:after="60" w:line="252" w:lineRule="auto"/>
        <w:jc w:val="both"/>
        <w:rPr>
          <w:rFonts w:ascii="Arial" w:hAnsi="Arial" w:cs="Arial"/>
        </w:rPr>
      </w:pPr>
      <w:r>
        <w:rPr>
          <w:rFonts w:ascii="Arial" w:hAnsi="Arial" w:cs="Arial"/>
        </w:rPr>
        <w:t>Z dôvodu chráneného územia a nestability pôdy bude nový koridor 2x400 kV v úseku vedenia V408 od pb č. 534 po pb č. 537 situovaný po východnej strane vedenia. Následne medzi pb č. 537 až 538 vedenia V408 prejde na západnú stranu vedenia V408, to najmä z dôvodu kolízie s obcou Ličartovce.</w:t>
      </w:r>
      <w:r w:rsidR="00BB7C8F">
        <w:rPr>
          <w:rFonts w:ascii="Arial" w:hAnsi="Arial" w:cs="Arial"/>
        </w:rPr>
        <w:t xml:space="preserve"> </w:t>
      </w:r>
      <w:r>
        <w:rPr>
          <w:rFonts w:ascii="Arial" w:hAnsi="Arial" w:cs="Arial"/>
        </w:rPr>
        <w:t xml:space="preserve">Modifikovaná trasa vybočenia nového vedenia 2x400 kV je znázornená na strane 16 v prílohe č. 1 </w:t>
      </w:r>
      <w:r w:rsidR="00284939">
        <w:rPr>
          <w:rFonts w:ascii="Arial" w:hAnsi="Arial" w:cs="Arial"/>
        </w:rPr>
        <w:t>tohto Technického podkladu</w:t>
      </w:r>
      <w:r>
        <w:rPr>
          <w:rFonts w:ascii="Arial" w:hAnsi="Arial" w:cs="Arial"/>
        </w:rPr>
        <w:t>.</w:t>
      </w:r>
      <w:bookmarkEnd w:id="0"/>
    </w:p>
    <w:p w14:paraId="1919AB8B" w14:textId="77777777" w:rsidR="000E10F7" w:rsidRPr="000E10F7" w:rsidRDefault="000E10F7" w:rsidP="00C778CE">
      <w:pPr>
        <w:pStyle w:val="Odsekzoznamu"/>
        <w:spacing w:before="60" w:after="60" w:line="252" w:lineRule="auto"/>
        <w:jc w:val="both"/>
        <w:rPr>
          <w:rFonts w:ascii="Arial" w:hAnsi="Arial" w:cs="Arial"/>
        </w:rPr>
      </w:pPr>
    </w:p>
    <w:p w14:paraId="2D211805" w14:textId="5D8376BF" w:rsidR="000E10F7" w:rsidRDefault="00574026" w:rsidP="00574026">
      <w:pPr>
        <w:spacing w:before="120" w:after="120" w:line="252" w:lineRule="auto"/>
        <w:jc w:val="both"/>
        <w:rPr>
          <w:rFonts w:ascii="Arial" w:hAnsi="Arial" w:cs="Arial"/>
        </w:rPr>
      </w:pPr>
      <w:r w:rsidRPr="44F6750A">
        <w:rPr>
          <w:rFonts w:ascii="Arial" w:hAnsi="Arial" w:cs="Arial"/>
        </w:rPr>
        <w:t>Odhadovaná plocha pre zriadenie VB v novom úseku vedenia 2x400 kV vrátane ochranného pásma vedenia je cca 1 858 665,2 m</w:t>
      </w:r>
      <w:r w:rsidRPr="44F6750A">
        <w:rPr>
          <w:rFonts w:ascii="Arial" w:hAnsi="Arial" w:cs="Arial"/>
          <w:vertAlign w:val="superscript"/>
        </w:rPr>
        <w:t>2</w:t>
      </w:r>
      <w:r w:rsidRPr="44F6750A">
        <w:rPr>
          <w:rFonts w:ascii="Arial" w:hAnsi="Arial" w:cs="Arial"/>
        </w:rPr>
        <w:t xml:space="preserve">. </w:t>
      </w:r>
      <w:r w:rsidRPr="0095345B">
        <w:rPr>
          <w:rFonts w:ascii="Arial" w:hAnsi="Arial" w:cs="Arial"/>
        </w:rPr>
        <w:t xml:space="preserve">Výstavba nových, predpokladane </w:t>
      </w:r>
      <w:r>
        <w:rPr>
          <w:rFonts w:ascii="Arial" w:hAnsi="Arial" w:cs="Arial"/>
        </w:rPr>
        <w:t>163</w:t>
      </w:r>
      <w:r w:rsidRPr="0095345B">
        <w:rPr>
          <w:rFonts w:ascii="Arial" w:hAnsi="Arial" w:cs="Arial"/>
        </w:rPr>
        <w:t xml:space="preserve"> stožiarových miest </w:t>
      </w:r>
      <w:r>
        <w:rPr>
          <w:rFonts w:ascii="Arial" w:hAnsi="Arial" w:cs="Arial"/>
        </w:rPr>
        <w:t xml:space="preserve">pre nové vedenie 2x400 kV </w:t>
      </w:r>
      <w:r w:rsidRPr="007870DA">
        <w:rPr>
          <w:rFonts w:ascii="Arial" w:hAnsi="Arial" w:cs="Arial"/>
        </w:rPr>
        <w:t xml:space="preserve">od ESt </w:t>
      </w:r>
      <w:r>
        <w:rPr>
          <w:rFonts w:ascii="Arial" w:hAnsi="Arial" w:cs="Arial"/>
        </w:rPr>
        <w:t>SPNV</w:t>
      </w:r>
      <w:r w:rsidRPr="007870DA">
        <w:rPr>
          <w:rFonts w:ascii="Arial" w:hAnsi="Arial" w:cs="Arial"/>
        </w:rPr>
        <w:t xml:space="preserve"> po </w:t>
      </w:r>
      <w:r>
        <w:rPr>
          <w:rFonts w:ascii="Arial" w:hAnsi="Arial" w:cs="Arial"/>
        </w:rPr>
        <w:t>ESt Lemešany</w:t>
      </w:r>
      <w:r w:rsidRPr="0095345B">
        <w:rPr>
          <w:rFonts w:ascii="Arial" w:hAnsi="Arial" w:cs="Arial"/>
        </w:rPr>
        <w:t xml:space="preserve">, si vyžiada zriadenie VB na ploche cca </w:t>
      </w:r>
      <w:r>
        <w:rPr>
          <w:rFonts w:ascii="Arial" w:hAnsi="Arial" w:cs="Arial"/>
        </w:rPr>
        <w:t>16 3</w:t>
      </w:r>
      <w:r w:rsidRPr="0095345B">
        <w:rPr>
          <w:rFonts w:ascii="Arial" w:hAnsi="Arial" w:cs="Arial"/>
        </w:rPr>
        <w:t>00</w:t>
      </w:r>
      <w:r>
        <w:rPr>
          <w:rFonts w:ascii="Arial" w:hAnsi="Arial" w:cs="Arial"/>
        </w:rPr>
        <w:t> </w:t>
      </w:r>
      <w:r w:rsidRPr="0095345B">
        <w:rPr>
          <w:rFonts w:ascii="Arial" w:hAnsi="Arial" w:cs="Arial"/>
        </w:rPr>
        <w:t>m</w:t>
      </w:r>
      <w:r w:rsidRPr="0095345B">
        <w:rPr>
          <w:rFonts w:ascii="Arial" w:hAnsi="Arial" w:cs="Arial"/>
          <w:vertAlign w:val="superscript"/>
        </w:rPr>
        <w:t>2</w:t>
      </w:r>
      <w:r w:rsidRPr="0095345B">
        <w:rPr>
          <w:rFonts w:ascii="Arial" w:hAnsi="Arial" w:cs="Arial"/>
        </w:rPr>
        <w:t>.</w:t>
      </w:r>
      <w:r w:rsidRPr="002B1B51">
        <w:rPr>
          <w:rFonts w:ascii="Arial" w:hAnsi="Arial" w:cs="Arial"/>
        </w:rPr>
        <w:t xml:space="preserve"> </w:t>
      </w:r>
      <w:r>
        <w:rPr>
          <w:rFonts w:ascii="Arial" w:hAnsi="Arial" w:cs="Arial"/>
        </w:rPr>
        <w:t>Celková p</w:t>
      </w:r>
      <w:r w:rsidRPr="44F6750A">
        <w:rPr>
          <w:rFonts w:ascii="Arial" w:hAnsi="Arial" w:cs="Arial"/>
        </w:rPr>
        <w:t>locha predstavuje 1 874 965,2 m</w:t>
      </w:r>
      <w:r w:rsidRPr="44F6750A">
        <w:rPr>
          <w:rFonts w:ascii="Arial" w:hAnsi="Arial" w:cs="Arial"/>
          <w:vertAlign w:val="superscript"/>
        </w:rPr>
        <w:t>2</w:t>
      </w:r>
      <w:r w:rsidRPr="44F6750A">
        <w:rPr>
          <w:rFonts w:ascii="Arial" w:hAnsi="Arial" w:cs="Arial"/>
        </w:rPr>
        <w:t>.</w:t>
      </w:r>
    </w:p>
    <w:p w14:paraId="66CE9310" w14:textId="77777777" w:rsidR="00522A1D" w:rsidRDefault="00522A1D" w:rsidP="00574026">
      <w:pPr>
        <w:spacing w:before="120" w:after="120" w:line="252" w:lineRule="auto"/>
        <w:jc w:val="both"/>
        <w:rPr>
          <w:rFonts w:ascii="Arial" w:hAnsi="Arial" w:cs="Arial"/>
        </w:rPr>
      </w:pPr>
    </w:p>
    <w:p w14:paraId="79CED72A" w14:textId="540D7D79" w:rsidR="00D461EB" w:rsidRPr="000E10F7" w:rsidRDefault="00C5101D" w:rsidP="000E10F7">
      <w:pPr>
        <w:spacing w:before="60" w:after="60" w:line="252" w:lineRule="auto"/>
        <w:jc w:val="both"/>
        <w:rPr>
          <w:rFonts w:ascii="Arial" w:hAnsi="Arial" w:cs="Arial"/>
        </w:rPr>
      </w:pPr>
      <w:r w:rsidRPr="00201D96">
        <w:rPr>
          <w:rFonts w:ascii="Arial" w:hAnsi="Arial" w:cs="Arial"/>
        </w:rPr>
        <w:t xml:space="preserve">Situačná mapa </w:t>
      </w:r>
      <w:r w:rsidR="00574026">
        <w:rPr>
          <w:rFonts w:ascii="Arial" w:hAnsi="Arial" w:cs="Arial"/>
        </w:rPr>
        <w:t>„</w:t>
      </w:r>
      <w:r w:rsidRPr="00201D96">
        <w:rPr>
          <w:rFonts w:ascii="Arial" w:hAnsi="Arial" w:cs="Arial"/>
        </w:rPr>
        <w:t>Zdvojenie vedenia V40</w:t>
      </w:r>
      <w:r w:rsidR="00F761A3">
        <w:rPr>
          <w:rFonts w:ascii="Arial" w:hAnsi="Arial" w:cs="Arial"/>
        </w:rPr>
        <w:t>8</w:t>
      </w:r>
      <w:r w:rsidR="00574026">
        <w:rPr>
          <w:rFonts w:ascii="Arial" w:hAnsi="Arial" w:cs="Arial"/>
        </w:rPr>
        <w:t>“</w:t>
      </w:r>
      <w:r w:rsidRPr="00201D96">
        <w:rPr>
          <w:rFonts w:ascii="Arial" w:hAnsi="Arial" w:cs="Arial"/>
        </w:rPr>
        <w:t xml:space="preserve"> je znázornená v prílohe č.</w:t>
      </w:r>
      <w:r w:rsidR="000E10F7">
        <w:rPr>
          <w:rFonts w:ascii="Arial" w:hAnsi="Arial" w:cs="Arial"/>
        </w:rPr>
        <w:t xml:space="preserve"> </w:t>
      </w:r>
      <w:r w:rsidRPr="00201D96">
        <w:rPr>
          <w:rFonts w:ascii="Arial" w:hAnsi="Arial" w:cs="Arial"/>
        </w:rPr>
        <w:t>1 t</w:t>
      </w:r>
      <w:r>
        <w:rPr>
          <w:rFonts w:ascii="Arial" w:hAnsi="Arial" w:cs="Arial"/>
        </w:rPr>
        <w:t xml:space="preserve">ýchto </w:t>
      </w:r>
      <w:r w:rsidR="00574026">
        <w:rPr>
          <w:rFonts w:ascii="Arial" w:hAnsi="Arial" w:cs="Arial"/>
        </w:rPr>
        <w:t>T</w:t>
      </w:r>
      <w:r>
        <w:rPr>
          <w:rFonts w:ascii="Arial" w:hAnsi="Arial" w:cs="Arial"/>
        </w:rPr>
        <w:t>echnických podkladov</w:t>
      </w:r>
      <w:r w:rsidRPr="00201D96">
        <w:rPr>
          <w:rFonts w:ascii="Arial" w:hAnsi="Arial" w:cs="Arial"/>
        </w:rPr>
        <w:t>.</w:t>
      </w:r>
    </w:p>
    <w:p w14:paraId="4D0DA7BB" w14:textId="0583B5E1" w:rsidR="00C5101D" w:rsidRDefault="00C5101D" w:rsidP="00C60B5B">
      <w:pPr>
        <w:spacing w:before="120" w:after="120" w:line="252" w:lineRule="auto"/>
        <w:jc w:val="both"/>
        <w:rPr>
          <w:rFonts w:ascii="Arial" w:hAnsi="Arial" w:cs="Arial"/>
        </w:rPr>
      </w:pPr>
      <w:bookmarkStart w:id="1" w:name="_Hlk193285292"/>
      <w:r w:rsidRPr="006142B0">
        <w:rPr>
          <w:rFonts w:ascii="Arial" w:hAnsi="Arial" w:cs="Arial"/>
        </w:rPr>
        <w:t xml:space="preserve">Schéma zapojenia „Zdvojenie vedenia </w:t>
      </w:r>
      <w:r w:rsidR="00100D00" w:rsidRPr="006142B0">
        <w:rPr>
          <w:rFonts w:ascii="Arial" w:hAnsi="Arial" w:cs="Arial"/>
        </w:rPr>
        <w:t>V408</w:t>
      </w:r>
      <w:r w:rsidRPr="006142B0">
        <w:rPr>
          <w:rFonts w:ascii="Arial" w:hAnsi="Arial" w:cs="Arial"/>
        </w:rPr>
        <w:t>“</w:t>
      </w:r>
      <w:bookmarkEnd w:id="1"/>
      <w:r w:rsidRPr="006142B0">
        <w:rPr>
          <w:rFonts w:ascii="Arial" w:hAnsi="Arial" w:cs="Arial"/>
        </w:rPr>
        <w:t xml:space="preserve"> je znázornená v prílohe č. </w:t>
      </w:r>
      <w:r w:rsidR="00E149A1" w:rsidRPr="006142B0">
        <w:rPr>
          <w:rFonts w:ascii="Arial" w:hAnsi="Arial" w:cs="Arial"/>
        </w:rPr>
        <w:t>2</w:t>
      </w:r>
      <w:r w:rsidRPr="006142B0">
        <w:rPr>
          <w:rFonts w:ascii="Arial" w:hAnsi="Arial" w:cs="Arial"/>
        </w:rPr>
        <w:t xml:space="preserve"> týchto </w:t>
      </w:r>
      <w:r w:rsidR="00E149A1" w:rsidRPr="006142B0">
        <w:rPr>
          <w:rFonts w:ascii="Arial" w:hAnsi="Arial" w:cs="Arial"/>
        </w:rPr>
        <w:t>T</w:t>
      </w:r>
      <w:r w:rsidRPr="006142B0">
        <w:rPr>
          <w:rFonts w:ascii="Arial" w:hAnsi="Arial" w:cs="Arial"/>
        </w:rPr>
        <w:t>echnických podkladov.</w:t>
      </w:r>
    </w:p>
    <w:p w14:paraId="77EBE848" w14:textId="77777777" w:rsidR="00522A1D" w:rsidRDefault="00522A1D" w:rsidP="00C60B5B">
      <w:pPr>
        <w:spacing w:before="120" w:after="120" w:line="252" w:lineRule="auto"/>
        <w:jc w:val="both"/>
        <w:rPr>
          <w:rFonts w:ascii="Arial" w:hAnsi="Arial" w:cs="Arial"/>
        </w:rPr>
      </w:pPr>
    </w:p>
    <w:p w14:paraId="7B1A7B57" w14:textId="77777777" w:rsidR="00522A1D" w:rsidRPr="00C60B5B" w:rsidRDefault="00522A1D" w:rsidP="00C60B5B">
      <w:pPr>
        <w:spacing w:before="120" w:after="120" w:line="252" w:lineRule="auto"/>
        <w:jc w:val="both"/>
        <w:rPr>
          <w:rFonts w:ascii="Arial" w:hAnsi="Arial" w:cs="Arial"/>
        </w:rPr>
      </w:pPr>
    </w:p>
    <w:p w14:paraId="1FE88468" w14:textId="6BAF2EDD" w:rsidR="00C5101D" w:rsidRPr="00CB1CE5" w:rsidRDefault="00CB1CE5" w:rsidP="00CB1CE5">
      <w:pPr>
        <w:pStyle w:val="Zkladntext3"/>
        <w:spacing w:before="0" w:after="240" w:line="252" w:lineRule="auto"/>
        <w:rPr>
          <w:rFonts w:cs="Arial"/>
          <w:szCs w:val="22"/>
          <w:u w:val="single"/>
        </w:rPr>
      </w:pPr>
      <w:r w:rsidRPr="00CB1CE5">
        <w:rPr>
          <w:rFonts w:cs="Arial"/>
          <w:szCs w:val="22"/>
          <w:u w:val="single"/>
        </w:rPr>
        <w:lastRenderedPageBreak/>
        <w:t>Prílohy</w:t>
      </w:r>
      <w:r>
        <w:rPr>
          <w:rFonts w:cs="Arial"/>
          <w:szCs w:val="22"/>
          <w:u w:val="single"/>
        </w:rPr>
        <w:t xml:space="preserve"> technických podkladov</w:t>
      </w:r>
      <w:r w:rsidRPr="00CB1CE5">
        <w:rPr>
          <w:rFonts w:cs="Arial"/>
          <w:szCs w:val="22"/>
          <w:u w:val="single"/>
        </w:rPr>
        <w:t>:</w:t>
      </w:r>
    </w:p>
    <w:p w14:paraId="017C124B" w14:textId="5BF06CC1" w:rsidR="00CB1CE5" w:rsidRDefault="00CB1CE5" w:rsidP="00C5101D">
      <w:pPr>
        <w:rPr>
          <w:rFonts w:ascii="Arial" w:hAnsi="Arial" w:cs="Arial"/>
        </w:rPr>
      </w:pPr>
      <w:r>
        <w:rPr>
          <w:rFonts w:ascii="Arial" w:hAnsi="Arial" w:cs="Arial"/>
        </w:rPr>
        <w:t>Príloha č.</w:t>
      </w:r>
      <w:r w:rsidR="00DA34D4">
        <w:rPr>
          <w:rFonts w:ascii="Arial" w:hAnsi="Arial" w:cs="Arial"/>
        </w:rPr>
        <w:t xml:space="preserve"> </w:t>
      </w:r>
      <w:r>
        <w:rPr>
          <w:rFonts w:ascii="Arial" w:hAnsi="Arial" w:cs="Arial"/>
        </w:rPr>
        <w:t xml:space="preserve">1 - </w:t>
      </w:r>
      <w:r w:rsidRPr="00201D96">
        <w:rPr>
          <w:rFonts w:ascii="Arial" w:hAnsi="Arial" w:cs="Arial"/>
        </w:rPr>
        <w:t xml:space="preserve">Situačná mapa Zdvojenie vedenia </w:t>
      </w:r>
      <w:r w:rsidR="00CC0F16">
        <w:rPr>
          <w:rFonts w:ascii="Arial" w:hAnsi="Arial" w:cs="Arial"/>
        </w:rPr>
        <w:t>V408</w:t>
      </w:r>
    </w:p>
    <w:p w14:paraId="5D4375C7" w14:textId="711F73AC" w:rsidR="00CB1CE5" w:rsidRDefault="00CB1CE5" w:rsidP="00C5101D">
      <w:pPr>
        <w:rPr>
          <w:rFonts w:ascii="Arial" w:hAnsi="Arial" w:cs="Arial"/>
        </w:rPr>
      </w:pPr>
      <w:r>
        <w:rPr>
          <w:rFonts w:ascii="Arial" w:hAnsi="Arial" w:cs="Arial"/>
        </w:rPr>
        <w:t>Príloha č.</w:t>
      </w:r>
      <w:r w:rsidR="00DA34D4">
        <w:rPr>
          <w:rFonts w:ascii="Arial" w:hAnsi="Arial" w:cs="Arial"/>
        </w:rPr>
        <w:t xml:space="preserve"> </w:t>
      </w:r>
      <w:r w:rsidR="00E149A1">
        <w:rPr>
          <w:rFonts w:ascii="Arial" w:hAnsi="Arial" w:cs="Arial"/>
        </w:rPr>
        <w:t>2</w:t>
      </w:r>
      <w:r>
        <w:rPr>
          <w:rFonts w:ascii="Arial" w:hAnsi="Arial" w:cs="Arial"/>
        </w:rPr>
        <w:t xml:space="preserve"> - </w:t>
      </w:r>
      <w:r w:rsidRPr="00CB1CE5">
        <w:rPr>
          <w:rFonts w:ascii="Arial" w:hAnsi="Arial" w:cs="Arial"/>
        </w:rPr>
        <w:t xml:space="preserve">Schéma zapojenia Zdvojenie vedenia </w:t>
      </w:r>
      <w:r w:rsidR="006142B0">
        <w:rPr>
          <w:rFonts w:ascii="Arial" w:hAnsi="Arial" w:cs="Arial"/>
        </w:rPr>
        <w:t>V408</w:t>
      </w:r>
    </w:p>
    <w:p w14:paraId="0355D589" w14:textId="0FAAED13" w:rsidR="00CB1CE5" w:rsidRPr="00FB2075" w:rsidRDefault="00CB1CE5" w:rsidP="00C5101D">
      <w:pPr>
        <w:rPr>
          <w:rFonts w:ascii="Arial" w:hAnsi="Arial" w:cs="Arial"/>
        </w:rPr>
      </w:pPr>
      <w:r w:rsidRPr="00FB2075">
        <w:rPr>
          <w:rFonts w:ascii="Arial" w:hAnsi="Arial" w:cs="Arial"/>
        </w:rPr>
        <w:t>Príloha č.</w:t>
      </w:r>
      <w:r w:rsidR="00DA34D4">
        <w:rPr>
          <w:rFonts w:ascii="Arial" w:hAnsi="Arial" w:cs="Arial"/>
        </w:rPr>
        <w:t xml:space="preserve"> </w:t>
      </w:r>
      <w:r w:rsidR="0080238C" w:rsidRPr="00FB2075">
        <w:rPr>
          <w:rFonts w:ascii="Arial" w:hAnsi="Arial" w:cs="Arial"/>
        </w:rPr>
        <w:t>3</w:t>
      </w:r>
      <w:r w:rsidRPr="00FB2075">
        <w:rPr>
          <w:rFonts w:ascii="Arial" w:hAnsi="Arial" w:cs="Arial"/>
        </w:rPr>
        <w:t xml:space="preserve"> </w:t>
      </w:r>
      <w:r w:rsidR="0080238C" w:rsidRPr="00FB2075">
        <w:rPr>
          <w:rFonts w:ascii="Arial" w:hAnsi="Arial" w:cs="Arial"/>
        </w:rPr>
        <w:t>-</w:t>
      </w:r>
      <w:r w:rsidRPr="00FB2075">
        <w:rPr>
          <w:rFonts w:ascii="Arial" w:hAnsi="Arial" w:cs="Arial"/>
        </w:rPr>
        <w:t xml:space="preserve"> V</w:t>
      </w:r>
      <w:r w:rsidR="00D372F5" w:rsidRPr="00FB2075">
        <w:rPr>
          <w:rFonts w:ascii="Arial" w:hAnsi="Arial" w:cs="Arial"/>
        </w:rPr>
        <w:t>408</w:t>
      </w:r>
      <w:r w:rsidR="006C5EEB">
        <w:rPr>
          <w:rFonts w:ascii="Arial" w:hAnsi="Arial" w:cs="Arial"/>
        </w:rPr>
        <w:t xml:space="preserve"> </w:t>
      </w:r>
      <w:r w:rsidRPr="00FB2075">
        <w:rPr>
          <w:rFonts w:ascii="Arial" w:hAnsi="Arial" w:cs="Arial"/>
        </w:rPr>
        <w:t>Preh</w:t>
      </w:r>
      <w:r w:rsidR="006C5EEB">
        <w:rPr>
          <w:rFonts w:ascii="Arial" w:hAnsi="Arial" w:cs="Arial"/>
        </w:rPr>
        <w:t>ľ</w:t>
      </w:r>
      <w:r w:rsidRPr="00FB2075">
        <w:rPr>
          <w:rFonts w:ascii="Arial" w:hAnsi="Arial" w:cs="Arial"/>
        </w:rPr>
        <w:t>adn</w:t>
      </w:r>
      <w:r w:rsidR="006C5EEB">
        <w:rPr>
          <w:rFonts w:ascii="Arial" w:hAnsi="Arial" w:cs="Arial"/>
        </w:rPr>
        <w:t xml:space="preserve">ý </w:t>
      </w:r>
      <w:r w:rsidRPr="00FB2075">
        <w:rPr>
          <w:rFonts w:ascii="Arial" w:hAnsi="Arial" w:cs="Arial"/>
        </w:rPr>
        <w:t>s</w:t>
      </w:r>
      <w:r w:rsidR="006C5EEB">
        <w:rPr>
          <w:rFonts w:ascii="Arial" w:hAnsi="Arial" w:cs="Arial"/>
        </w:rPr>
        <w:t>ú</w:t>
      </w:r>
      <w:r w:rsidRPr="00FB2075">
        <w:rPr>
          <w:rFonts w:ascii="Arial" w:hAnsi="Arial" w:cs="Arial"/>
        </w:rPr>
        <w:t>pis</w:t>
      </w:r>
      <w:r w:rsidR="006C5EEB">
        <w:rPr>
          <w:rFonts w:ascii="Arial" w:hAnsi="Arial" w:cs="Arial"/>
        </w:rPr>
        <w:t xml:space="preserve"> </w:t>
      </w:r>
      <w:r w:rsidRPr="00FB2075">
        <w:rPr>
          <w:rFonts w:ascii="Arial" w:hAnsi="Arial" w:cs="Arial"/>
        </w:rPr>
        <w:t>2023</w:t>
      </w:r>
    </w:p>
    <w:p w14:paraId="4A89530D" w14:textId="2B55999E" w:rsidR="008D17F2" w:rsidRPr="003375EB" w:rsidRDefault="00CB1CE5">
      <w:pPr>
        <w:rPr>
          <w:rFonts w:ascii="Arial" w:hAnsi="Arial" w:cs="Arial"/>
        </w:rPr>
      </w:pPr>
      <w:r w:rsidRPr="00FB2075">
        <w:rPr>
          <w:rFonts w:ascii="Arial" w:hAnsi="Arial" w:cs="Arial"/>
        </w:rPr>
        <w:t>Príloha č.</w:t>
      </w:r>
      <w:r w:rsidR="00DA34D4">
        <w:rPr>
          <w:rFonts w:ascii="Arial" w:hAnsi="Arial" w:cs="Arial"/>
        </w:rPr>
        <w:t xml:space="preserve"> </w:t>
      </w:r>
      <w:r w:rsidR="0080238C" w:rsidRPr="00FB2075">
        <w:rPr>
          <w:rFonts w:ascii="Arial" w:hAnsi="Arial" w:cs="Arial"/>
        </w:rPr>
        <w:t>4</w:t>
      </w:r>
      <w:r w:rsidRPr="00FB2075">
        <w:rPr>
          <w:rFonts w:ascii="Arial" w:hAnsi="Arial" w:cs="Arial"/>
        </w:rPr>
        <w:t xml:space="preserve"> </w:t>
      </w:r>
      <w:r w:rsidR="0080238C" w:rsidRPr="00FB2075">
        <w:rPr>
          <w:rFonts w:ascii="Arial" w:hAnsi="Arial" w:cs="Arial"/>
        </w:rPr>
        <w:t>-</w:t>
      </w:r>
      <w:r w:rsidRPr="00FB2075">
        <w:rPr>
          <w:rFonts w:ascii="Arial" w:hAnsi="Arial" w:cs="Arial"/>
        </w:rPr>
        <w:t xml:space="preserve"> V</w:t>
      </w:r>
      <w:r w:rsidR="00D372F5" w:rsidRPr="00FB2075">
        <w:rPr>
          <w:rFonts w:ascii="Arial" w:hAnsi="Arial" w:cs="Arial"/>
        </w:rPr>
        <w:t>273</w:t>
      </w:r>
      <w:r w:rsidR="006C5EEB">
        <w:rPr>
          <w:rFonts w:ascii="Arial" w:hAnsi="Arial" w:cs="Arial"/>
        </w:rPr>
        <w:t xml:space="preserve"> </w:t>
      </w:r>
      <w:r w:rsidRPr="00FB2075">
        <w:rPr>
          <w:rFonts w:ascii="Arial" w:hAnsi="Arial" w:cs="Arial"/>
        </w:rPr>
        <w:t>Preh</w:t>
      </w:r>
      <w:r w:rsidR="006C5EEB">
        <w:rPr>
          <w:rFonts w:ascii="Arial" w:hAnsi="Arial" w:cs="Arial"/>
        </w:rPr>
        <w:t>ľ</w:t>
      </w:r>
      <w:r w:rsidRPr="00FB2075">
        <w:rPr>
          <w:rFonts w:ascii="Arial" w:hAnsi="Arial" w:cs="Arial"/>
        </w:rPr>
        <w:t>adn</w:t>
      </w:r>
      <w:r w:rsidR="006C5EEB">
        <w:rPr>
          <w:rFonts w:ascii="Arial" w:hAnsi="Arial" w:cs="Arial"/>
        </w:rPr>
        <w:t xml:space="preserve">ý </w:t>
      </w:r>
      <w:r w:rsidRPr="00FB2075">
        <w:rPr>
          <w:rFonts w:ascii="Arial" w:hAnsi="Arial" w:cs="Arial"/>
        </w:rPr>
        <w:t>s</w:t>
      </w:r>
      <w:r w:rsidR="006C5EEB">
        <w:rPr>
          <w:rFonts w:ascii="Arial" w:hAnsi="Arial" w:cs="Arial"/>
        </w:rPr>
        <w:t>ú</w:t>
      </w:r>
      <w:r w:rsidRPr="00FB2075">
        <w:rPr>
          <w:rFonts w:ascii="Arial" w:hAnsi="Arial" w:cs="Arial"/>
        </w:rPr>
        <w:t>pis</w:t>
      </w:r>
      <w:r w:rsidR="006C5EEB">
        <w:rPr>
          <w:rFonts w:ascii="Arial" w:hAnsi="Arial" w:cs="Arial"/>
        </w:rPr>
        <w:t xml:space="preserve"> </w:t>
      </w:r>
      <w:r w:rsidRPr="00FB2075">
        <w:rPr>
          <w:rFonts w:ascii="Arial" w:hAnsi="Arial" w:cs="Arial"/>
        </w:rPr>
        <w:t>2023</w:t>
      </w:r>
    </w:p>
    <w:sectPr w:rsidR="008D17F2" w:rsidRPr="003375E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1E97" w14:textId="77777777" w:rsidR="00D23130" w:rsidRDefault="00D23130" w:rsidP="003375EB">
      <w:pPr>
        <w:spacing w:after="0" w:line="240" w:lineRule="auto"/>
      </w:pPr>
      <w:r>
        <w:separator/>
      </w:r>
    </w:p>
  </w:endnote>
  <w:endnote w:type="continuationSeparator" w:id="0">
    <w:p w14:paraId="665482B7" w14:textId="77777777" w:rsidR="00D23130" w:rsidRDefault="00D23130" w:rsidP="0033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A04D" w14:textId="061AFCB2" w:rsidR="003A168E" w:rsidRDefault="00DC133F">
    <w:pPr>
      <w:pStyle w:val="Pta"/>
    </w:pPr>
    <w:r>
      <w:t>Zdvojenie vedenia V408</w:t>
    </w:r>
    <w:r>
      <w:tab/>
    </w:r>
    <w:r>
      <w:tab/>
    </w:r>
    <w:r w:rsidR="00C60B5B">
      <w:fldChar w:fldCharType="begin"/>
    </w:r>
    <w:r w:rsidR="00C60B5B">
      <w:instrText>PAGE   \* MERGEFORMAT</w:instrText>
    </w:r>
    <w:r w:rsidR="00C60B5B">
      <w:fldChar w:fldCharType="separate"/>
    </w:r>
    <w:r w:rsidR="00C60B5B">
      <w:t>1</w:t>
    </w:r>
    <w:r w:rsidR="00C60B5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81E15" w14:textId="77777777" w:rsidR="00D23130" w:rsidRDefault="00D23130" w:rsidP="003375EB">
      <w:pPr>
        <w:spacing w:after="0" w:line="240" w:lineRule="auto"/>
      </w:pPr>
      <w:r>
        <w:separator/>
      </w:r>
    </w:p>
  </w:footnote>
  <w:footnote w:type="continuationSeparator" w:id="0">
    <w:p w14:paraId="4B61F800" w14:textId="77777777" w:rsidR="00D23130" w:rsidRDefault="00D23130" w:rsidP="00337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5EC5" w14:textId="35AD2EDC" w:rsidR="003A168E" w:rsidRDefault="003A168E">
    <w:pPr>
      <w:pStyle w:val="Hlavika"/>
    </w:pPr>
    <w:r>
      <w:t>Technické podklady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6F16"/>
    <w:multiLevelType w:val="hybridMultilevel"/>
    <w:tmpl w:val="48509B1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32E9636A"/>
    <w:multiLevelType w:val="hybridMultilevel"/>
    <w:tmpl w:val="6472E5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DD6688A"/>
    <w:multiLevelType w:val="hybridMultilevel"/>
    <w:tmpl w:val="B1AEE930"/>
    <w:lvl w:ilvl="0" w:tplc="63368F7A">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7E1A49"/>
    <w:multiLevelType w:val="hybridMultilevel"/>
    <w:tmpl w:val="2CCCE6C8"/>
    <w:lvl w:ilvl="0" w:tplc="94F02F98">
      <w:start w:val="2"/>
      <w:numFmt w:val="decimal"/>
      <w:lvlText w:val="%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9E0125A"/>
    <w:multiLevelType w:val="hybridMultilevel"/>
    <w:tmpl w:val="529C7DE4"/>
    <w:lvl w:ilvl="0" w:tplc="63368F7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16cid:durableId="984821767">
    <w:abstractNumId w:val="4"/>
  </w:num>
  <w:num w:numId="2" w16cid:durableId="812021062">
    <w:abstractNumId w:val="3"/>
  </w:num>
  <w:num w:numId="3" w16cid:durableId="182478001">
    <w:abstractNumId w:val="0"/>
  </w:num>
  <w:num w:numId="4" w16cid:durableId="1228955429">
    <w:abstractNumId w:val="2"/>
  </w:num>
  <w:num w:numId="5" w16cid:durableId="108623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1D"/>
    <w:rsid w:val="000015EE"/>
    <w:rsid w:val="000246EE"/>
    <w:rsid w:val="000C3919"/>
    <w:rsid w:val="000D3347"/>
    <w:rsid w:val="000E10F7"/>
    <w:rsid w:val="00100D00"/>
    <w:rsid w:val="00165F31"/>
    <w:rsid w:val="00174506"/>
    <w:rsid w:val="00193E08"/>
    <w:rsid w:val="001C622A"/>
    <w:rsid w:val="001E089A"/>
    <w:rsid w:val="0023659D"/>
    <w:rsid w:val="00245D1D"/>
    <w:rsid w:val="00247834"/>
    <w:rsid w:val="0027407C"/>
    <w:rsid w:val="00284939"/>
    <w:rsid w:val="002D31FD"/>
    <w:rsid w:val="00326029"/>
    <w:rsid w:val="003375EB"/>
    <w:rsid w:val="00344FC2"/>
    <w:rsid w:val="003A168E"/>
    <w:rsid w:val="003B5EA6"/>
    <w:rsid w:val="003E72FB"/>
    <w:rsid w:val="00442019"/>
    <w:rsid w:val="00453751"/>
    <w:rsid w:val="0048531B"/>
    <w:rsid w:val="004E631B"/>
    <w:rsid w:val="004F2182"/>
    <w:rsid w:val="00522A1D"/>
    <w:rsid w:val="00574026"/>
    <w:rsid w:val="00590ECA"/>
    <w:rsid w:val="006142B0"/>
    <w:rsid w:val="00645F85"/>
    <w:rsid w:val="0067639B"/>
    <w:rsid w:val="006C5EEB"/>
    <w:rsid w:val="006C684A"/>
    <w:rsid w:val="006E10B0"/>
    <w:rsid w:val="006F50B4"/>
    <w:rsid w:val="00785A6A"/>
    <w:rsid w:val="00794091"/>
    <w:rsid w:val="007E6D13"/>
    <w:rsid w:val="0080238C"/>
    <w:rsid w:val="00835AD6"/>
    <w:rsid w:val="008D17F2"/>
    <w:rsid w:val="008D7E65"/>
    <w:rsid w:val="00975A6D"/>
    <w:rsid w:val="009B00CA"/>
    <w:rsid w:val="009C04E9"/>
    <w:rsid w:val="00A074FB"/>
    <w:rsid w:val="00A37B1A"/>
    <w:rsid w:val="00B26E71"/>
    <w:rsid w:val="00B706FE"/>
    <w:rsid w:val="00B97CBB"/>
    <w:rsid w:val="00BB3EBD"/>
    <w:rsid w:val="00BB7C8F"/>
    <w:rsid w:val="00BE2BFC"/>
    <w:rsid w:val="00BE311A"/>
    <w:rsid w:val="00C0055D"/>
    <w:rsid w:val="00C5101D"/>
    <w:rsid w:val="00C60B5B"/>
    <w:rsid w:val="00C778CE"/>
    <w:rsid w:val="00CB1CE5"/>
    <w:rsid w:val="00CC0F16"/>
    <w:rsid w:val="00CE760B"/>
    <w:rsid w:val="00CF45B5"/>
    <w:rsid w:val="00D23130"/>
    <w:rsid w:val="00D372F5"/>
    <w:rsid w:val="00D461EB"/>
    <w:rsid w:val="00D656EA"/>
    <w:rsid w:val="00DA160B"/>
    <w:rsid w:val="00DA34D4"/>
    <w:rsid w:val="00DC133F"/>
    <w:rsid w:val="00DC20C4"/>
    <w:rsid w:val="00E149A1"/>
    <w:rsid w:val="00E20201"/>
    <w:rsid w:val="00E713EC"/>
    <w:rsid w:val="00EF6237"/>
    <w:rsid w:val="00EF6481"/>
    <w:rsid w:val="00EF7F6A"/>
    <w:rsid w:val="00F01055"/>
    <w:rsid w:val="00F46730"/>
    <w:rsid w:val="00F761A3"/>
    <w:rsid w:val="00FB2075"/>
    <w:rsid w:val="00FF47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E91"/>
  <w15:chartTrackingRefBased/>
  <w15:docId w15:val="{F9B03313-39CC-43B8-AD2F-E6129E8B6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5101D"/>
  </w:style>
  <w:style w:type="paragraph" w:styleId="Nadpis1">
    <w:name w:val="heading 1"/>
    <w:basedOn w:val="Normlny"/>
    <w:next w:val="Normlny"/>
    <w:link w:val="Nadpis1Char"/>
    <w:uiPriority w:val="9"/>
    <w:qFormat/>
    <w:rsid w:val="00C510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C510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C510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510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5101D"/>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510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5101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5101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5101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510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C510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C5101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5101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5101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5101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5101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5101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5101D"/>
    <w:rPr>
      <w:rFonts w:eastAsiaTheme="majorEastAsia" w:cstheme="majorBidi"/>
      <w:color w:val="272727" w:themeColor="text1" w:themeTint="D8"/>
    </w:rPr>
  </w:style>
  <w:style w:type="paragraph" w:styleId="Nzov">
    <w:name w:val="Title"/>
    <w:basedOn w:val="Normlny"/>
    <w:next w:val="Normlny"/>
    <w:link w:val="NzovChar"/>
    <w:uiPriority w:val="10"/>
    <w:qFormat/>
    <w:rsid w:val="00C51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5101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5101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5101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5101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5101D"/>
    <w:rPr>
      <w:i/>
      <w:iCs/>
      <w:color w:val="404040" w:themeColor="text1" w:themeTint="BF"/>
    </w:rPr>
  </w:style>
  <w:style w:type="paragraph" w:styleId="Odsekzoznamu">
    <w:name w:val="List Paragraph"/>
    <w:basedOn w:val="Normlny"/>
    <w:uiPriority w:val="34"/>
    <w:qFormat/>
    <w:rsid w:val="00C5101D"/>
    <w:pPr>
      <w:ind w:left="720"/>
      <w:contextualSpacing/>
    </w:pPr>
  </w:style>
  <w:style w:type="character" w:styleId="Intenzvnezvraznenie">
    <w:name w:val="Intense Emphasis"/>
    <w:basedOn w:val="Predvolenpsmoodseku"/>
    <w:uiPriority w:val="21"/>
    <w:qFormat/>
    <w:rsid w:val="00C5101D"/>
    <w:rPr>
      <w:i/>
      <w:iCs/>
      <w:color w:val="2F5496" w:themeColor="accent1" w:themeShade="BF"/>
    </w:rPr>
  </w:style>
  <w:style w:type="paragraph" w:styleId="Zvraznencitcia">
    <w:name w:val="Intense Quote"/>
    <w:basedOn w:val="Normlny"/>
    <w:next w:val="Normlny"/>
    <w:link w:val="ZvraznencitciaChar"/>
    <w:uiPriority w:val="30"/>
    <w:qFormat/>
    <w:rsid w:val="00C510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5101D"/>
    <w:rPr>
      <w:i/>
      <w:iCs/>
      <w:color w:val="2F5496" w:themeColor="accent1" w:themeShade="BF"/>
    </w:rPr>
  </w:style>
  <w:style w:type="character" w:styleId="Zvraznenodkaz">
    <w:name w:val="Intense Reference"/>
    <w:basedOn w:val="Predvolenpsmoodseku"/>
    <w:uiPriority w:val="32"/>
    <w:qFormat/>
    <w:rsid w:val="00C5101D"/>
    <w:rPr>
      <w:b/>
      <w:bCs/>
      <w:smallCaps/>
      <w:color w:val="2F5496" w:themeColor="accent1" w:themeShade="BF"/>
      <w:spacing w:val="5"/>
    </w:rPr>
  </w:style>
  <w:style w:type="paragraph" w:styleId="Zkladntext3">
    <w:name w:val="Body Text 3"/>
    <w:basedOn w:val="Normlny"/>
    <w:link w:val="Zkladntext3Char"/>
    <w:semiHidden/>
    <w:rsid w:val="00C5101D"/>
    <w:pPr>
      <w:tabs>
        <w:tab w:val="left" w:pos="3969"/>
      </w:tabs>
      <w:spacing w:before="120" w:after="0" w:line="240" w:lineRule="auto"/>
      <w:jc w:val="both"/>
    </w:pPr>
    <w:rPr>
      <w:rFonts w:ascii="Arial" w:eastAsia="Times New Roman" w:hAnsi="Arial" w:cs="Times New Roman"/>
      <w:szCs w:val="24"/>
      <w:lang w:eastAsia="sk-SK"/>
    </w:rPr>
  </w:style>
  <w:style w:type="character" w:customStyle="1" w:styleId="Zkladntext3Char">
    <w:name w:val="Základný text 3 Char"/>
    <w:basedOn w:val="Predvolenpsmoodseku"/>
    <w:link w:val="Zkladntext3"/>
    <w:semiHidden/>
    <w:rsid w:val="00C5101D"/>
    <w:rPr>
      <w:rFonts w:ascii="Arial" w:eastAsia="Times New Roman" w:hAnsi="Arial" w:cs="Times New Roman"/>
      <w:szCs w:val="24"/>
      <w:lang w:eastAsia="sk-SK"/>
    </w:rPr>
  </w:style>
  <w:style w:type="table" w:styleId="Mriekatabuky">
    <w:name w:val="Table Grid"/>
    <w:basedOn w:val="Normlnatabuka"/>
    <w:uiPriority w:val="39"/>
    <w:rsid w:val="00C51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D31F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D31FD"/>
  </w:style>
  <w:style w:type="paragraph" w:styleId="Pta">
    <w:name w:val="footer"/>
    <w:basedOn w:val="Normlny"/>
    <w:link w:val="PtaChar"/>
    <w:uiPriority w:val="99"/>
    <w:unhideWhenUsed/>
    <w:rsid w:val="002D31FD"/>
    <w:pPr>
      <w:tabs>
        <w:tab w:val="center" w:pos="4536"/>
        <w:tab w:val="right" w:pos="9072"/>
      </w:tabs>
      <w:spacing w:after="0" w:line="240" w:lineRule="auto"/>
    </w:pPr>
  </w:style>
  <w:style w:type="character" w:customStyle="1" w:styleId="PtaChar">
    <w:name w:val="Päta Char"/>
    <w:basedOn w:val="Predvolenpsmoodseku"/>
    <w:link w:val="Pta"/>
    <w:uiPriority w:val="99"/>
    <w:rsid w:val="002D3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1006</Words>
  <Characters>5736</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Slovenska elektrizacna prenosova sustava, a.s.</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Technické podklady</dc:title>
  <dc:subject/>
  <dc:creator>Adamcová Jana</dc:creator>
  <cp:keywords/>
  <dc:description/>
  <cp:lastModifiedBy>Výbošťoková Lucia</cp:lastModifiedBy>
  <cp:revision>84</cp:revision>
  <dcterms:created xsi:type="dcterms:W3CDTF">2025-08-11T06:56:00Z</dcterms:created>
  <dcterms:modified xsi:type="dcterms:W3CDTF">2026-04-29T06:56:00Z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585759-362d-4185-bb50-fc81b58bf15d_Enabled">
    <vt:lpwstr>true</vt:lpwstr>
  </property>
  <property fmtid="{D5CDD505-2E9C-101B-9397-08002B2CF9AE}" pid="3" name="MSIP_Label_2e585759-362d-4185-bb50-fc81b58bf15d_SetDate">
    <vt:lpwstr>2025-08-11T11:38:44Z</vt:lpwstr>
  </property>
  <property fmtid="{D5CDD505-2E9C-101B-9397-08002B2CF9AE}" pid="4" name="MSIP_Label_2e585759-362d-4185-bb50-fc81b58bf15d_Method">
    <vt:lpwstr>Standard</vt:lpwstr>
  </property>
  <property fmtid="{D5CDD505-2E9C-101B-9397-08002B2CF9AE}" pid="5" name="MSIP_Label_2e585759-362d-4185-bb50-fc81b58bf15d_Name">
    <vt:lpwstr>2e585759-362d-4185-bb50-fc81b58bf15d</vt:lpwstr>
  </property>
  <property fmtid="{D5CDD505-2E9C-101B-9397-08002B2CF9AE}" pid="6" name="MSIP_Label_2e585759-362d-4185-bb50-fc81b58bf15d_SiteId">
    <vt:lpwstr>6dfa2abc-8bb8-4557-855c-e532cacb5122</vt:lpwstr>
  </property>
  <property fmtid="{D5CDD505-2E9C-101B-9397-08002B2CF9AE}" pid="7" name="MSIP_Label_2e585759-362d-4185-bb50-fc81b58bf15d_ActionId">
    <vt:lpwstr>d3991706-08f3-442c-9f62-3d7496f2bccf</vt:lpwstr>
  </property>
  <property fmtid="{D5CDD505-2E9C-101B-9397-08002B2CF9AE}" pid="8" name="MSIP_Label_2e585759-362d-4185-bb50-fc81b58bf15d_ContentBits">
    <vt:lpwstr>0</vt:lpwstr>
  </property>
  <property fmtid="{D5CDD505-2E9C-101B-9397-08002B2CF9AE}" pid="9" name="MSIP_Label_2e585759-362d-4185-bb50-fc81b58bf15d_Tag">
    <vt:lpwstr>10, 3, 0, 1</vt:lpwstr>
  </property>
</Properties>
</file>