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87" w:rightFromText="187" w:vertAnchor="page" w:horzAnchor="margin" w:tblpY="1636"/>
        <w:tblOverlap w:val="never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D03274" w:rsidRPr="00574414" w14:paraId="2A42DFFB" w14:textId="77777777" w:rsidTr="00D03274">
        <w:tc>
          <w:tcPr>
            <w:tcW w:w="9380" w:type="dxa"/>
            <w:vAlign w:val="center"/>
          </w:tcPr>
          <w:p w14:paraId="5064133D" w14:textId="06697A8E" w:rsidR="00D03274" w:rsidRPr="00574414" w:rsidRDefault="00FB4996" w:rsidP="00FB4996">
            <w:pPr>
              <w:pStyle w:val="Bezriadkovania"/>
              <w:jc w:val="center"/>
              <w:rPr>
                <w:rFonts w:cs="Calibri"/>
              </w:rPr>
            </w:pPr>
            <w:bookmarkStart w:id="1" w:name="_Hlk520129189"/>
            <w:r w:rsidRPr="00574414">
              <w:rPr>
                <w:noProof/>
                <w:lang w:eastAsia="sk-SK" w:bidi="ar-SA"/>
              </w:rPr>
              <w:drawing>
                <wp:inline distT="0" distB="0" distL="0" distR="0" wp14:anchorId="2F0BD934" wp14:editId="757140E7">
                  <wp:extent cx="3423165" cy="2352675"/>
                  <wp:effectExtent l="0" t="0" r="0" b="0"/>
                  <wp:docPr id="7444" name="Obrázek 7444" descr="Oval text okolo fareb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Oval text okolo farebn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05" r="-6573" b="-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379" cy="23569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274" w:rsidRPr="00574414" w14:paraId="68FD1AF8" w14:textId="77777777" w:rsidTr="00691725">
        <w:trPr>
          <w:trHeight w:val="269"/>
        </w:trPr>
        <w:tc>
          <w:tcPr>
            <w:tcW w:w="9380" w:type="dxa"/>
            <w:vAlign w:val="center"/>
          </w:tcPr>
          <w:p w14:paraId="50B27346" w14:textId="0A7F0D3C" w:rsidR="00D03274" w:rsidRPr="00574414" w:rsidRDefault="00D03274" w:rsidP="00D03274">
            <w:pPr>
              <w:pStyle w:val="Bezriadkovania"/>
              <w:rPr>
                <w:rFonts w:cs="Calibri"/>
              </w:rPr>
            </w:pPr>
          </w:p>
        </w:tc>
      </w:tr>
      <w:tr w:rsidR="00B35FB5" w:rsidRPr="00574414" w14:paraId="6AB4F539" w14:textId="77777777" w:rsidTr="001A517B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6204BC34" w14:textId="0C3C7878" w:rsidR="00B35FB5" w:rsidRPr="00574414" w:rsidRDefault="00536FF3" w:rsidP="00581E67">
            <w:pPr>
              <w:pStyle w:val="Bezriadkovania"/>
              <w:jc w:val="center"/>
              <w:rPr>
                <w:rFonts w:cs="Calibri"/>
                <w:noProof/>
                <w:lang w:eastAsia="cs-CZ" w:bidi="ar-SA"/>
              </w:rPr>
            </w:pPr>
            <w:sdt>
              <w:sdtPr>
                <w:rPr>
                  <w:rFonts w:cstheme="majorHAnsi"/>
                  <w:b/>
                  <w:bCs/>
                  <w:sz w:val="36"/>
                  <w:szCs w:val="40"/>
                  <w:shd w:val="clear" w:color="auto" w:fill="FFFFFF" w:themeFill="background1"/>
                </w:rPr>
                <w:alias w:val="Podtitul"/>
                <w:id w:val="133922988"/>
                <w:placeholder>
                  <w:docPart w:val="A7D9754E100940D8881366A8C19A74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E45C3" w:rsidRPr="00D36240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Návrh metodiky </w:t>
                </w:r>
                <w:r w:rsidR="005E45C3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podľa čl. 119, ods. 1, písm. r)</w:t>
                </w:r>
                <w:r w:rsidR="005E45C3" w:rsidRPr="00D36240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 Nariadenia Komisie (EÚ) 2017/1485</w:t>
                </w:r>
              </w:sdtContent>
            </w:sdt>
          </w:p>
        </w:tc>
      </w:tr>
      <w:tr w:rsidR="00C517B2" w:rsidRPr="00574414" w14:paraId="1D951A7D" w14:textId="77777777" w:rsidTr="00C517B2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5201793E" w14:textId="77777777" w:rsidR="00C517B2" w:rsidRPr="00574414" w:rsidRDefault="00C517B2" w:rsidP="00D44439">
            <w:pPr>
              <w:pStyle w:val="Bezriadkovania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  <w:shd w:val="clear" w:color="auto" w:fill="455F51" w:themeFill="text2"/>
              </w:rPr>
            </w:pPr>
          </w:p>
        </w:tc>
      </w:tr>
      <w:tr w:rsidR="00D03274" w:rsidRPr="00574414" w14:paraId="4085F207" w14:textId="77777777" w:rsidTr="001A517B">
        <w:trPr>
          <w:trHeight w:val="2072"/>
        </w:trPr>
        <w:tc>
          <w:tcPr>
            <w:tcW w:w="9380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4B0EDD" w14:textId="5414EBD3" w:rsidR="00D03274" w:rsidRPr="00574414" w:rsidRDefault="00536FF3" w:rsidP="00093D91">
            <w:pPr>
              <w:pStyle w:val="Bezriadkovania"/>
              <w:jc w:val="center"/>
              <w:rPr>
                <w:rFonts w:eastAsiaTheme="majorEastAsia" w:cs="Calibri"/>
                <w:color w:val="3E762A" w:themeColor="accent1" w:themeShade="BF"/>
                <w:sz w:val="68"/>
                <w:szCs w:val="68"/>
              </w:rPr>
            </w:pPr>
            <w:sdt>
              <w:sdtPr>
                <w:rPr>
                  <w:rFonts w:eastAsiaTheme="majorEastAsia" w:cs="Calibri"/>
                  <w:sz w:val="32"/>
                  <w:szCs w:val="68"/>
                </w:rPr>
                <w:alias w:val="Název"/>
                <w:id w:val="220683848"/>
                <w:placeholder>
                  <w:docPart w:val="5FC92C9096A241C4AE9C797F1CE3CA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235D5">
                  <w:rPr>
                    <w:rFonts w:eastAsiaTheme="majorEastAsia" w:cs="Calibri"/>
                    <w:sz w:val="32"/>
                    <w:szCs w:val="68"/>
                  </w:rPr>
                  <w:t>Opatrenia na zníženie FRCE vyžadovaním zmien vo výrobe alebo spotrebe jednotiek na výrobu elektriny alebo odberných jednotiek podľa čl. 152 ods. 16</w:t>
                </w:r>
                <w:r w:rsidR="007937C2">
                  <w:rPr>
                    <w:rFonts w:eastAsiaTheme="majorEastAsia" w:cs="Calibri"/>
                    <w:sz w:val="32"/>
                    <w:szCs w:val="68"/>
                  </w:rPr>
                  <w:t xml:space="preserve"> N</w:t>
                </w:r>
                <w:r w:rsidR="007235D5">
                  <w:rPr>
                    <w:rFonts w:eastAsiaTheme="majorEastAsia" w:cs="Calibri"/>
                    <w:sz w:val="32"/>
                    <w:szCs w:val="68"/>
                  </w:rPr>
                  <w:t>ariadenia Európskej</w:t>
                </w:r>
                <w:r w:rsidR="001F3C39">
                  <w:rPr>
                    <w:rFonts w:eastAsiaTheme="majorEastAsia" w:cs="Calibri"/>
                    <w:sz w:val="32"/>
                    <w:szCs w:val="68"/>
                  </w:rPr>
                  <w:t xml:space="preserve"> K</w:t>
                </w:r>
                <w:r w:rsidR="007235D5">
                  <w:rPr>
                    <w:rFonts w:eastAsiaTheme="majorEastAsia" w:cs="Calibri"/>
                    <w:sz w:val="32"/>
                    <w:szCs w:val="68"/>
                  </w:rPr>
                  <w:t xml:space="preserve">omisie </w:t>
                </w:r>
                <w:r w:rsidR="001F3C39">
                  <w:rPr>
                    <w:rFonts w:eastAsiaTheme="majorEastAsia" w:cs="Calibri"/>
                    <w:sz w:val="32"/>
                    <w:szCs w:val="68"/>
                  </w:rPr>
                  <w:t>(</w:t>
                </w:r>
                <w:r w:rsidR="007235D5">
                  <w:rPr>
                    <w:rFonts w:eastAsiaTheme="majorEastAsia" w:cs="Calibri"/>
                    <w:sz w:val="32"/>
                    <w:szCs w:val="68"/>
                  </w:rPr>
                  <w:t>EÚ</w:t>
                </w:r>
                <w:r w:rsidR="001F3C39">
                  <w:rPr>
                    <w:rFonts w:eastAsiaTheme="majorEastAsia" w:cs="Calibri"/>
                    <w:sz w:val="32"/>
                    <w:szCs w:val="68"/>
                  </w:rPr>
                  <w:t>)</w:t>
                </w:r>
                <w:r w:rsidR="007235D5">
                  <w:rPr>
                    <w:rFonts w:eastAsiaTheme="majorEastAsia" w:cs="Calibri"/>
                    <w:sz w:val="32"/>
                    <w:szCs w:val="68"/>
                  </w:rPr>
                  <w:t xml:space="preserve"> 2017/1485 z 2. augusta 2017, ktorým sa stanovuje usmernenie pre prevádzkovanie elektrizačnej sústavy</w:t>
                </w:r>
              </w:sdtContent>
            </w:sdt>
          </w:p>
        </w:tc>
      </w:tr>
      <w:tr w:rsidR="001628A2" w:rsidRPr="00574414" w14:paraId="4145AE6F" w14:textId="77777777" w:rsidTr="00832D24">
        <w:tc>
          <w:tcPr>
            <w:tcW w:w="9380" w:type="dxa"/>
            <w:vAlign w:val="center"/>
          </w:tcPr>
          <w:p w14:paraId="293715A2" w14:textId="77777777" w:rsidR="001628A2" w:rsidRPr="00574414" w:rsidRDefault="001628A2" w:rsidP="001628A2">
            <w:pPr>
              <w:pStyle w:val="Bezriadkovania"/>
              <w:rPr>
                <w:rFonts w:cs="Calibri"/>
                <w:noProof/>
                <w:lang w:eastAsia="cs-CZ" w:bidi="ar-SA"/>
              </w:rPr>
            </w:pPr>
          </w:p>
        </w:tc>
      </w:tr>
      <w:tr w:rsidR="001628A2" w:rsidRPr="00574414" w14:paraId="58F7FFF2" w14:textId="77777777" w:rsidTr="00832D24">
        <w:trPr>
          <w:trHeight w:val="95"/>
        </w:trPr>
        <w:tc>
          <w:tcPr>
            <w:tcW w:w="9380" w:type="dxa"/>
            <w:vAlign w:val="center"/>
          </w:tcPr>
          <w:p w14:paraId="2941B636" w14:textId="77777777" w:rsidR="001628A2" w:rsidRPr="00574414" w:rsidRDefault="00536FF3" w:rsidP="001628A2">
            <w:pPr>
              <w:pStyle w:val="Bezriadkovania"/>
              <w:rPr>
                <w:rFonts w:cs="Calibri"/>
                <w:noProof/>
                <w:lang w:eastAsia="cs-CZ" w:bidi="ar-SA"/>
              </w:rPr>
            </w:pPr>
            <w:sdt>
              <w:sdtPr>
                <w:rPr>
                  <w:rFonts w:cs="Calibri"/>
                </w:rPr>
                <w:alias w:val="Datum"/>
                <w:id w:val="1935481962"/>
                <w:placeholder>
                  <w:docPart w:val="9ACF2CB2B9C948F1A0DCC8A4747CE7B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8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628A2" w:rsidRPr="00A22599">
                  <w:rPr>
                    <w:rFonts w:cs="Calibri"/>
                  </w:rPr>
                  <w:t>01.08.2018</w:t>
                </w:r>
              </w:sdtContent>
            </w:sdt>
          </w:p>
        </w:tc>
      </w:tr>
      <w:tr w:rsidR="0032559D" w:rsidRPr="00574414" w14:paraId="6C90EC2E" w14:textId="77777777" w:rsidTr="0028724C">
        <w:trPr>
          <w:trHeight w:val="262"/>
        </w:trPr>
        <w:tc>
          <w:tcPr>
            <w:tcW w:w="9380" w:type="dxa"/>
            <w:vAlign w:val="center"/>
          </w:tcPr>
          <w:p w14:paraId="7202B2C4" w14:textId="77777777" w:rsidR="0032559D" w:rsidRPr="00574414" w:rsidRDefault="0032559D" w:rsidP="001628A2">
            <w:pPr>
              <w:pStyle w:val="Bezriadkovania"/>
              <w:rPr>
                <w:rFonts w:cs="Calibri"/>
                <w:color w:val="455F51" w:themeColor="text2"/>
              </w:rPr>
            </w:pPr>
          </w:p>
        </w:tc>
      </w:tr>
      <w:tr w:rsidR="00ED4222" w:rsidRPr="00574414" w14:paraId="33CB4525" w14:textId="77777777" w:rsidTr="0028724C">
        <w:trPr>
          <w:trHeight w:val="2015"/>
        </w:trPr>
        <w:tc>
          <w:tcPr>
            <w:tcW w:w="9380" w:type="dxa"/>
            <w:vAlign w:val="center"/>
          </w:tcPr>
          <w:p w14:paraId="3731E8B2" w14:textId="2A4B96B1" w:rsidR="00ED4222" w:rsidRPr="00A22599" w:rsidRDefault="00D72B49" w:rsidP="00ED4222">
            <w:pPr>
              <w:rPr>
                <w:rFonts w:cs="Arial"/>
                <w:b/>
                <w:color w:val="222222"/>
                <w:sz w:val="18"/>
              </w:rPr>
            </w:pPr>
            <w:r w:rsidRPr="00A22599">
              <w:rPr>
                <w:rFonts w:cs="Arial"/>
                <w:b/>
                <w:color w:val="222222"/>
                <w:sz w:val="18"/>
              </w:rPr>
              <w:t xml:space="preserve">Právna notifikácia: </w:t>
            </w:r>
          </w:p>
          <w:p w14:paraId="2AB318CD" w14:textId="4F9FD1C6" w:rsidR="00ED4222" w:rsidRPr="00574414" w:rsidRDefault="00ED4222" w:rsidP="0028724C">
            <w:pPr>
              <w:pStyle w:val="Bezriadkovania"/>
              <w:rPr>
                <w:rFonts w:cs="Calibri"/>
                <w:color w:val="455F51" w:themeColor="text2"/>
              </w:rPr>
            </w:pPr>
            <w:r w:rsidRPr="00A22599">
              <w:rPr>
                <w:rFonts w:cs="Arial"/>
                <w:color w:val="222222"/>
                <w:sz w:val="18"/>
              </w:rPr>
              <w:t>T</w:t>
            </w:r>
            <w:r w:rsidR="00D72B49" w:rsidRPr="00A22599">
              <w:rPr>
                <w:rFonts w:cs="Arial"/>
                <w:color w:val="222222"/>
                <w:sz w:val="18"/>
              </w:rPr>
              <w:t>ento dokument spoločnosti</w:t>
            </w:r>
            <w:r w:rsidR="00A85A3C" w:rsidRPr="00A22599">
              <w:t xml:space="preserve"> </w:t>
            </w:r>
            <w:r w:rsidR="00A85A3C" w:rsidRPr="00A22599">
              <w:rPr>
                <w:rFonts w:cs="Arial"/>
                <w:color w:val="222222"/>
                <w:sz w:val="18"/>
              </w:rPr>
              <w:t>Slovenská elektrizačná prenosová sústava, a. s.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 (ďalej len „SEPS“), ako prevádzkovateľa prenosovej sústavy SR, </w:t>
            </w:r>
            <w:r w:rsidRPr="00A22599">
              <w:rPr>
                <w:rFonts w:cs="Arial"/>
                <w:color w:val="222222"/>
                <w:sz w:val="18"/>
              </w:rPr>
              <w:t xml:space="preserve">predstavuje 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pracovný </w:t>
            </w:r>
            <w:r w:rsidRPr="00A22599">
              <w:rPr>
                <w:rFonts w:cs="Arial"/>
                <w:color w:val="222222"/>
                <w:sz w:val="18"/>
              </w:rPr>
              <w:t xml:space="preserve">návrh </w:t>
            </w:r>
            <w:r w:rsidR="00D72B49" w:rsidRPr="00A22599">
              <w:rPr>
                <w:rFonts w:cs="Arial"/>
                <w:color w:val="222222"/>
                <w:sz w:val="18"/>
              </w:rPr>
              <w:t>na účely verejnej konzultácie</w:t>
            </w:r>
            <w:r w:rsidRPr="00A22599">
              <w:rPr>
                <w:rFonts w:cs="Arial"/>
                <w:color w:val="222222"/>
                <w:sz w:val="18"/>
              </w:rPr>
              <w:t xml:space="preserve"> 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podľa Nariadenia Komisie </w:t>
            </w:r>
            <w:r w:rsidR="00A22599">
              <w:rPr>
                <w:rFonts w:cs="Arial"/>
                <w:color w:val="222222"/>
                <w:sz w:val="18"/>
              </w:rPr>
              <w:t>(</w:t>
            </w:r>
            <w:r w:rsidR="00D72B49" w:rsidRPr="00A22599">
              <w:rPr>
                <w:rFonts w:cs="Arial"/>
                <w:color w:val="222222"/>
                <w:sz w:val="18"/>
              </w:rPr>
              <w:t>EÚ</w:t>
            </w:r>
            <w:r w:rsidR="00A22599">
              <w:rPr>
                <w:rFonts w:cs="Arial"/>
                <w:color w:val="222222"/>
                <w:sz w:val="18"/>
              </w:rPr>
              <w:t>)</w:t>
            </w:r>
            <w:r w:rsidR="00DD34FB" w:rsidRPr="00A22599">
              <w:rPr>
                <w:rFonts w:cs="Arial"/>
                <w:color w:val="222222"/>
                <w:sz w:val="18"/>
              </w:rPr>
              <w:t xml:space="preserve"> 2017/1485</w:t>
            </w:r>
            <w:r w:rsidR="0028724C" w:rsidRPr="00A22599">
              <w:rPr>
                <w:rFonts w:cs="Arial"/>
                <w:color w:val="222222"/>
                <w:sz w:val="18"/>
              </w:rPr>
              <w:t xml:space="preserve">, ktorým sa stanovuje usmernenie pre prevádzkovanie elektrizačnej prenosovej sústavy </w:t>
            </w:r>
            <w:r w:rsidRPr="00A22599">
              <w:rPr>
                <w:rFonts w:cs="Arial"/>
                <w:color w:val="222222"/>
                <w:sz w:val="18"/>
              </w:rPr>
              <w:t xml:space="preserve">a v žiadnom prípade nepredstavuje </w:t>
            </w:r>
            <w:r w:rsidR="00D72B49" w:rsidRPr="00A22599">
              <w:rPr>
                <w:rFonts w:cs="Arial"/>
                <w:color w:val="222222"/>
                <w:sz w:val="18"/>
              </w:rPr>
              <w:t>finálnu, záväznú alebo nemennú</w:t>
            </w:r>
            <w:r w:rsidRPr="00A22599">
              <w:rPr>
                <w:rFonts w:cs="Arial"/>
                <w:color w:val="222222"/>
                <w:sz w:val="18"/>
              </w:rPr>
              <w:t xml:space="preserve"> pozíciu.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 SEPS si vyhradzuje právo, najmä nie však výlučne, upraviť tento dokument na základe výsledkov verejnej konzultácie a zároveň upozorňuje, že finálny návrh je predmetom schválenia príslušného národného regulačného úradu.</w:t>
            </w:r>
            <w:r w:rsidR="00D72B49">
              <w:rPr>
                <w:rFonts w:ascii="Arial" w:hAnsi="Arial" w:cs="Arial"/>
                <w:color w:val="222222"/>
                <w:sz w:val="18"/>
              </w:rPr>
              <w:t xml:space="preserve"> </w:t>
            </w:r>
          </w:p>
        </w:tc>
      </w:tr>
    </w:tbl>
    <w:p w14:paraId="6F118658" w14:textId="1741A8CF" w:rsidR="00463FEC" w:rsidRDefault="00D03274" w:rsidP="00F51067">
      <w:pPr>
        <w:spacing w:before="0" w:after="200"/>
        <w:jc w:val="left"/>
      </w:pPr>
      <w:bookmarkStart w:id="2" w:name="_Toc513034009"/>
      <w:bookmarkStart w:id="3" w:name="_Ref517949672"/>
      <w:bookmarkStart w:id="4" w:name="_Toc517951147"/>
      <w:bookmarkEnd w:id="1"/>
      <w:r w:rsidRPr="00574414">
        <w:rPr>
          <w:rFonts w:ascii="Trebuchet MS" w:eastAsia="Times New Roman" w:hAnsi="Trebuchet MS" w:cs="Arial"/>
          <w:b/>
          <w:bCs/>
          <w:iCs/>
          <w:noProof/>
          <w:color w:val="FFFFFF"/>
          <w:sz w:val="28"/>
          <w:szCs w:val="32"/>
          <w:lang w:bidi="ar-SA"/>
        </w:rPr>
        <w:br w:type="page"/>
      </w:r>
      <w:bookmarkEnd w:id="2"/>
      <w:bookmarkEnd w:id="3"/>
      <w:bookmarkEnd w:id="4"/>
    </w:p>
    <w:p w14:paraId="7B685C7D" w14:textId="6CCC11A3" w:rsidR="00CB566B" w:rsidRPr="00F51067" w:rsidRDefault="00F51067" w:rsidP="007C2381">
      <w:pPr>
        <w:pStyle w:val="Nadpis1"/>
      </w:pPr>
      <w:r w:rsidRPr="00F51067">
        <w:lastRenderedPageBreak/>
        <w:t>Úvod</w:t>
      </w:r>
    </w:p>
    <w:p w14:paraId="322BA123" w14:textId="5B1B97A7" w:rsidR="006D13BB" w:rsidRPr="00D36240" w:rsidRDefault="0028724C" w:rsidP="00F51067">
      <w:r>
        <w:t xml:space="preserve">Tento dokument predstavuje návrh metodiky </w:t>
      </w:r>
      <w:r w:rsidR="00D53D44" w:rsidRPr="00FB3B31">
        <w:t>(ďalej len „Návrh“)</w:t>
      </w:r>
      <w:r w:rsidR="00D53D44">
        <w:t xml:space="preserve"> </w:t>
      </w:r>
      <w:r>
        <w:t>vypracovaný s</w:t>
      </w:r>
      <w:r w:rsidR="00F51067" w:rsidRPr="004D5A96">
        <w:t>polo</w:t>
      </w:r>
      <w:r w:rsidR="00F51067" w:rsidRPr="004D5A96">
        <w:rPr>
          <w:rFonts w:hint="eastAsia"/>
        </w:rPr>
        <w:t>č</w:t>
      </w:r>
      <w:r w:rsidR="00F51067" w:rsidRPr="004D5A96">
        <w:t>nos</w:t>
      </w:r>
      <w:r>
        <w:t>ťou</w:t>
      </w:r>
      <w:r w:rsidR="00F51067" w:rsidRPr="004D5A96">
        <w:t xml:space="preserve"> Slovensk</w:t>
      </w:r>
      <w:r w:rsidR="00F51067" w:rsidRPr="004D5A96">
        <w:rPr>
          <w:rFonts w:hint="eastAsia"/>
        </w:rPr>
        <w:t>á</w:t>
      </w:r>
      <w:r w:rsidR="00F51067" w:rsidRPr="004D5A96">
        <w:t xml:space="preserve"> elektriza</w:t>
      </w:r>
      <w:r w:rsidR="00F51067" w:rsidRPr="004D5A96">
        <w:rPr>
          <w:rFonts w:hint="eastAsia"/>
        </w:rPr>
        <w:t>č</w:t>
      </w:r>
      <w:r w:rsidR="00F51067" w:rsidRPr="004D5A96">
        <w:t>n</w:t>
      </w:r>
      <w:r w:rsidR="00F51067" w:rsidRPr="004D5A96">
        <w:rPr>
          <w:rFonts w:hint="eastAsia"/>
        </w:rPr>
        <w:t>á</w:t>
      </w:r>
      <w:r w:rsidR="00F51067" w:rsidRPr="004D5A96">
        <w:t xml:space="preserve"> prenosov</w:t>
      </w:r>
      <w:r w:rsidR="00F51067" w:rsidRPr="004D5A96">
        <w:rPr>
          <w:rFonts w:hint="eastAsia"/>
        </w:rPr>
        <w:t>á</w:t>
      </w:r>
      <w:r w:rsidR="00F51067" w:rsidRPr="004D5A96">
        <w:t xml:space="preserve"> s</w:t>
      </w:r>
      <w:r w:rsidR="00F51067" w:rsidRPr="004D5A96">
        <w:rPr>
          <w:rFonts w:hint="eastAsia"/>
        </w:rPr>
        <w:t>ú</w:t>
      </w:r>
      <w:r>
        <w:t>stava, a. s.</w:t>
      </w:r>
      <w:r w:rsidR="00F51067" w:rsidRPr="004D5A96">
        <w:t xml:space="preserve"> </w:t>
      </w:r>
      <w:r w:rsidR="00F51067">
        <w:t>(ďalej</w:t>
      </w:r>
      <w:r>
        <w:t xml:space="preserve"> len</w:t>
      </w:r>
      <w:r w:rsidR="00F51067">
        <w:t xml:space="preserve"> „</w:t>
      </w:r>
      <w:r w:rsidR="00F51067" w:rsidRPr="00B625BF">
        <w:t>SEPS</w:t>
      </w:r>
      <w:r w:rsidR="00F51067">
        <w:t>“)</w:t>
      </w:r>
      <w:r>
        <w:t xml:space="preserve"> v súlade s</w:t>
      </w:r>
      <w:r w:rsidR="00B2046E">
        <w:t> </w:t>
      </w:r>
      <w:r>
        <w:t>článkom</w:t>
      </w:r>
      <w:r w:rsidR="00D53D44">
        <w:t xml:space="preserve"> 119 a článkom </w:t>
      </w:r>
      <w:r w:rsidR="00B2046E">
        <w:t>152</w:t>
      </w:r>
      <w:r>
        <w:t xml:space="preserve"> </w:t>
      </w:r>
      <w:r w:rsidRPr="0028724C">
        <w:t xml:space="preserve">Nariadenia Komisie </w:t>
      </w:r>
      <w:r w:rsidR="00A22599">
        <w:t>(</w:t>
      </w:r>
      <w:r w:rsidRPr="0028724C">
        <w:t>EÚ</w:t>
      </w:r>
      <w:r w:rsidR="00A22599">
        <w:t>)</w:t>
      </w:r>
      <w:r w:rsidRPr="0028724C">
        <w:t xml:space="preserve"> 2017/1485, ktorým sa stanovuje usmernenie pre prevádzkovanie elektrizačnej prenosovej sústavy (ďalej len „</w:t>
      </w:r>
      <w:r w:rsidR="001F3C39">
        <w:t xml:space="preserve">Nariadenie </w:t>
      </w:r>
      <w:r w:rsidRPr="0028724C">
        <w:t>SOGL“)</w:t>
      </w:r>
      <w:r w:rsidR="00B8395A">
        <w:t>,</w:t>
      </w:r>
      <w:r w:rsidR="00F51067">
        <w:t xml:space="preserve"> berúc do úvahy </w:t>
      </w:r>
      <w:r w:rsidR="00F51067" w:rsidRPr="00D36240">
        <w:t>nasledujúce:</w:t>
      </w:r>
    </w:p>
    <w:p w14:paraId="5D9F8900" w14:textId="534A59C3" w:rsidR="009860BC" w:rsidRPr="00D36240" w:rsidRDefault="009860BC" w:rsidP="00D36240">
      <w:pPr>
        <w:pStyle w:val="Odsekzoznamu"/>
        <w:rPr>
          <w:rFonts w:eastAsia="Times New Roman"/>
          <w:lang w:bidi="ar-SA"/>
        </w:rPr>
      </w:pPr>
      <w:r w:rsidRPr="00D36240">
        <w:rPr>
          <w:rFonts w:eastAsia="Times New Roman"/>
          <w:lang w:bidi="ar-SA"/>
        </w:rPr>
        <w:t xml:space="preserve">Nakoľko je spoločnosť SEPS jediným prevádzkovateľom prenosovej sústavy </w:t>
      </w:r>
      <w:r w:rsidR="00701887" w:rsidRPr="00D36240">
        <w:rPr>
          <w:rFonts w:eastAsia="Times New Roman"/>
          <w:lang w:bidi="ar-SA"/>
        </w:rPr>
        <w:t>Slovenskej republiky</w:t>
      </w:r>
      <w:r w:rsidRPr="00D36240">
        <w:rPr>
          <w:rFonts w:eastAsia="Times New Roman"/>
          <w:lang w:bidi="ar-SA"/>
        </w:rPr>
        <w:t xml:space="preserve"> </w:t>
      </w:r>
      <w:r w:rsidRPr="00D36240">
        <w:t>(ďalej len „PPS“)</w:t>
      </w:r>
      <w:r w:rsidRPr="00D36240">
        <w:rPr>
          <w:rFonts w:eastAsia="Times New Roman"/>
          <w:lang w:bidi="ar-SA"/>
        </w:rPr>
        <w:t xml:space="preserve"> v rámci príslušného LFC bloku</w:t>
      </w:r>
      <w:r w:rsidR="00BA3D82">
        <w:rPr>
          <w:rFonts w:eastAsia="Times New Roman"/>
          <w:lang w:bidi="ar-SA"/>
        </w:rPr>
        <w:t>,</w:t>
      </w:r>
      <w:r w:rsidRPr="00D36240">
        <w:rPr>
          <w:rFonts w:eastAsia="Times New Roman"/>
          <w:lang w:bidi="ar-SA"/>
        </w:rPr>
        <w:t xml:space="preserve"> je tento </w:t>
      </w:r>
      <w:r w:rsidR="00D53D44" w:rsidRPr="00D36240">
        <w:rPr>
          <w:rFonts w:eastAsia="Times New Roman"/>
          <w:lang w:bidi="ar-SA"/>
        </w:rPr>
        <w:t>N</w:t>
      </w:r>
      <w:r w:rsidRPr="00D36240">
        <w:rPr>
          <w:rFonts w:eastAsia="Times New Roman"/>
          <w:lang w:bidi="ar-SA"/>
        </w:rPr>
        <w:t xml:space="preserve">ávrh vydaný vo forme prevádzkovej metodiky bloku LFC v súlade s článkom </w:t>
      </w:r>
      <w:r w:rsidR="00E26187" w:rsidRPr="00D36240">
        <w:rPr>
          <w:rFonts w:eastAsia="Times New Roman"/>
          <w:lang w:bidi="ar-SA"/>
        </w:rPr>
        <w:t xml:space="preserve">3 </w:t>
      </w:r>
      <w:r w:rsidRPr="00D36240">
        <w:rPr>
          <w:rFonts w:eastAsia="Times New Roman"/>
          <w:lang w:bidi="ar-SA"/>
        </w:rPr>
        <w:t xml:space="preserve">ods. 136 </w:t>
      </w:r>
      <w:r w:rsidR="001F3C39" w:rsidRPr="00D36240">
        <w:rPr>
          <w:rFonts w:eastAsia="Times New Roman"/>
          <w:lang w:bidi="ar-SA"/>
        </w:rPr>
        <w:t>N</w:t>
      </w:r>
      <w:r w:rsidRPr="00D36240">
        <w:rPr>
          <w:rFonts w:eastAsia="Times New Roman"/>
          <w:lang w:bidi="ar-SA"/>
        </w:rPr>
        <w:t xml:space="preserve">ariadenia SOGL. </w:t>
      </w:r>
    </w:p>
    <w:p w14:paraId="1B550F54" w14:textId="1B5D01CD" w:rsidR="00482469" w:rsidRPr="00D36240" w:rsidRDefault="00482469" w:rsidP="00D36240">
      <w:pPr>
        <w:pStyle w:val="Odsekzoznamu"/>
        <w:ind w:left="357" w:hanging="357"/>
        <w:rPr>
          <w:rFonts w:eastAsia="Times New Roman"/>
          <w:lang w:bidi="ar-SA"/>
        </w:rPr>
      </w:pPr>
      <w:r w:rsidRPr="00D36240">
        <w:rPr>
          <w:rFonts w:eastAsia="Times New Roman"/>
          <w:lang w:bidi="ar-SA"/>
        </w:rPr>
        <w:t xml:space="preserve">Tento </w:t>
      </w:r>
      <w:r w:rsidR="00D53D44" w:rsidRPr="00D36240">
        <w:rPr>
          <w:rFonts w:eastAsia="Times New Roman"/>
          <w:lang w:bidi="ar-SA"/>
        </w:rPr>
        <w:t>N</w:t>
      </w:r>
      <w:r w:rsidR="00470272" w:rsidRPr="00D36240">
        <w:rPr>
          <w:rFonts w:eastAsia="Times New Roman"/>
          <w:lang w:bidi="ar-SA"/>
        </w:rPr>
        <w:t xml:space="preserve">ávrh </w:t>
      </w:r>
      <w:r w:rsidRPr="00D36240">
        <w:rPr>
          <w:rFonts w:eastAsia="Times New Roman"/>
          <w:lang w:bidi="ar-SA"/>
        </w:rPr>
        <w:t xml:space="preserve">berie do úvahy základné princípy a ciele stanovené </w:t>
      </w:r>
      <w:r w:rsidR="00EA0985" w:rsidRPr="00D36240">
        <w:rPr>
          <w:rFonts w:eastAsia="Times New Roman"/>
          <w:lang w:bidi="ar-SA"/>
        </w:rPr>
        <w:t>článkom 4 nariadenia SOGL, a to najmä k cieľu zachovať úroveň kvality frekvencie v synchrónnej oblasti Kontinentálna Európa</w:t>
      </w:r>
      <w:r w:rsidR="00707622">
        <w:rPr>
          <w:rStyle w:val="Odkaznapoznmkupodiarou"/>
          <w:rFonts w:eastAsia="Times New Roman"/>
          <w:lang w:bidi="ar-SA"/>
        </w:rPr>
        <w:footnoteReference w:id="2"/>
      </w:r>
      <w:r w:rsidR="00EA0985" w:rsidRPr="00D36240">
        <w:rPr>
          <w:rFonts w:eastAsia="Times New Roman"/>
          <w:lang w:bidi="ar-SA"/>
        </w:rPr>
        <w:t>, ktorej súčasťou je LFC blok SEPS.</w:t>
      </w:r>
      <w:r w:rsidRPr="00D36240">
        <w:rPr>
          <w:rFonts w:eastAsia="Times New Roman"/>
          <w:lang w:bidi="ar-SA"/>
        </w:rPr>
        <w:t xml:space="preserve"> </w:t>
      </w:r>
      <w:r w:rsidR="00EA0985" w:rsidRPr="00D36240">
        <w:rPr>
          <w:rFonts w:eastAsia="Times New Roman"/>
          <w:lang w:bidi="ar-SA"/>
        </w:rPr>
        <w:t>Tým </w:t>
      </w:r>
      <w:r w:rsidR="0005760C" w:rsidRPr="00D36240">
        <w:rPr>
          <w:rFonts w:eastAsia="Times New Roman"/>
          <w:lang w:bidi="ar-SA"/>
        </w:rPr>
        <w:t xml:space="preserve">zároveň prispieva </w:t>
      </w:r>
      <w:r w:rsidR="00EA0985" w:rsidRPr="00D36240">
        <w:rPr>
          <w:rFonts w:eastAsia="Times New Roman"/>
          <w:lang w:bidi="ar-SA"/>
        </w:rPr>
        <w:t xml:space="preserve">k </w:t>
      </w:r>
      <w:r w:rsidR="0005760C" w:rsidRPr="00D36240">
        <w:rPr>
          <w:rFonts w:eastAsia="Times New Roman"/>
          <w:lang w:bidi="ar-SA"/>
        </w:rPr>
        <w:t xml:space="preserve">zachovaniu stabilnej a bezpečnej prevádzky prenosovej sústavy. </w:t>
      </w:r>
    </w:p>
    <w:p w14:paraId="12B0BD1A" w14:textId="19B091BA" w:rsidR="00470272" w:rsidRPr="00D36240" w:rsidRDefault="009860BC" w:rsidP="00D36240">
      <w:pPr>
        <w:pStyle w:val="Odsekzoznamu"/>
        <w:ind w:left="357" w:hanging="357"/>
        <w:rPr>
          <w:rFonts w:eastAsia="Times New Roman"/>
          <w:lang w:bidi="ar-SA"/>
        </w:rPr>
      </w:pPr>
      <w:r w:rsidRPr="00D36240">
        <w:rPr>
          <w:rFonts w:eastAsia="Times New Roman"/>
          <w:lang w:bidi="ar-SA"/>
        </w:rPr>
        <w:t>Nariadenie SOGL v čl</w:t>
      </w:r>
      <w:r w:rsidR="00EE4FC9" w:rsidRPr="00D36240">
        <w:rPr>
          <w:rFonts w:eastAsia="Times New Roman"/>
          <w:lang w:bidi="ar-SA"/>
        </w:rPr>
        <w:t>.</w:t>
      </w:r>
      <w:r w:rsidR="00482469" w:rsidRPr="00D36240">
        <w:rPr>
          <w:rFonts w:eastAsia="Times New Roman"/>
          <w:lang w:bidi="ar-SA"/>
        </w:rPr>
        <w:t xml:space="preserve"> 119 ods. 1, písm. r</w:t>
      </w:r>
      <w:r w:rsidR="00CC7A9B" w:rsidRPr="00D36240">
        <w:rPr>
          <w:rFonts w:eastAsia="Times New Roman"/>
          <w:lang w:bidi="ar-SA"/>
        </w:rPr>
        <w:t>)</w:t>
      </w:r>
      <w:r w:rsidR="00482469" w:rsidRPr="00D36240">
        <w:rPr>
          <w:rFonts w:eastAsia="Times New Roman"/>
          <w:lang w:bidi="ar-SA"/>
        </w:rPr>
        <w:t xml:space="preserve"> </w:t>
      </w:r>
      <w:r w:rsidRPr="00D36240">
        <w:rPr>
          <w:rFonts w:eastAsia="Times New Roman"/>
          <w:lang w:bidi="ar-SA"/>
        </w:rPr>
        <w:t xml:space="preserve">stanovuje </w:t>
      </w:r>
      <w:r w:rsidR="00B8395A" w:rsidRPr="00D36240">
        <w:rPr>
          <w:rFonts w:eastAsia="Times New Roman"/>
          <w:lang w:bidi="ar-SA"/>
        </w:rPr>
        <w:t>povinnosť</w:t>
      </w:r>
      <w:r w:rsidR="00E26187" w:rsidRPr="00D36240">
        <w:rPr>
          <w:rFonts w:eastAsia="Times New Roman"/>
          <w:lang w:bidi="ar-SA"/>
        </w:rPr>
        <w:t xml:space="preserve"> pre</w:t>
      </w:r>
      <w:r w:rsidR="00470272" w:rsidRPr="00D36240">
        <w:rPr>
          <w:rFonts w:eastAsia="Times New Roman"/>
          <w:lang w:bidi="ar-SA"/>
        </w:rPr>
        <w:t xml:space="preserve"> </w:t>
      </w:r>
      <w:r w:rsidR="00B401E0" w:rsidRPr="00D36240">
        <w:rPr>
          <w:rFonts w:eastAsia="Times New Roman"/>
          <w:lang w:bidi="ar-SA"/>
        </w:rPr>
        <w:t>prev</w:t>
      </w:r>
      <w:r w:rsidR="00B401E0" w:rsidRPr="00D36240">
        <w:rPr>
          <w:rFonts w:eastAsia="Times New Roman" w:hint="eastAsia"/>
          <w:lang w:bidi="ar-SA"/>
        </w:rPr>
        <w:t>á</w:t>
      </w:r>
      <w:r w:rsidR="00B401E0" w:rsidRPr="00D36240">
        <w:rPr>
          <w:rFonts w:eastAsia="Times New Roman"/>
          <w:lang w:bidi="ar-SA"/>
        </w:rPr>
        <w:t>dzkovate</w:t>
      </w:r>
      <w:r w:rsidR="00B401E0" w:rsidRPr="00D36240">
        <w:rPr>
          <w:rFonts w:eastAsia="Times New Roman" w:hint="eastAsia"/>
          <w:lang w:bidi="ar-SA"/>
        </w:rPr>
        <w:t>ľ</w:t>
      </w:r>
      <w:r w:rsidR="00764107" w:rsidRPr="00D36240">
        <w:rPr>
          <w:rFonts w:eastAsia="Times New Roman"/>
          <w:lang w:bidi="ar-SA"/>
        </w:rPr>
        <w:t>a</w:t>
      </w:r>
      <w:r w:rsidR="00B401E0" w:rsidRPr="00D36240">
        <w:rPr>
          <w:rFonts w:eastAsia="Times New Roman"/>
          <w:lang w:bidi="ar-SA"/>
        </w:rPr>
        <w:t xml:space="preserve"> prenosovej s</w:t>
      </w:r>
      <w:r w:rsidR="00B401E0" w:rsidRPr="00D36240">
        <w:rPr>
          <w:rFonts w:eastAsia="Times New Roman" w:hint="eastAsia"/>
          <w:lang w:bidi="ar-SA"/>
        </w:rPr>
        <w:t>ú</w:t>
      </w:r>
      <w:r w:rsidR="00B401E0" w:rsidRPr="00D36240">
        <w:rPr>
          <w:rFonts w:eastAsia="Times New Roman"/>
          <w:lang w:bidi="ar-SA"/>
        </w:rPr>
        <w:t>stavy</w:t>
      </w:r>
      <w:r w:rsidR="003F6177" w:rsidRPr="00D36240">
        <w:rPr>
          <w:rFonts w:eastAsia="Times New Roman"/>
          <w:lang w:bidi="ar-SA"/>
        </w:rPr>
        <w:t xml:space="preserve"> do 12 mesiacov po nadobudnutí jeho účinnosti</w:t>
      </w:r>
      <w:r w:rsidR="00764107" w:rsidRPr="00D36240">
        <w:rPr>
          <w:rFonts w:eastAsia="Times New Roman"/>
          <w:lang w:bidi="ar-SA"/>
        </w:rPr>
        <w:t xml:space="preserve"> </w:t>
      </w:r>
      <w:r w:rsidR="00FC7F3D" w:rsidRPr="00D36240">
        <w:rPr>
          <w:rFonts w:eastAsia="Times New Roman"/>
          <w:lang w:bidi="ar-SA"/>
        </w:rPr>
        <w:t xml:space="preserve">vypracovať </w:t>
      </w:r>
      <w:r w:rsidRPr="00D36240">
        <w:rPr>
          <w:rFonts w:eastAsia="Times New Roman"/>
          <w:lang w:bidi="ar-SA"/>
        </w:rPr>
        <w:t>návrh „</w:t>
      </w:r>
      <w:r w:rsidR="00FC7F3D" w:rsidRPr="00D36240">
        <w:rPr>
          <w:rFonts w:eastAsia="Times New Roman"/>
          <w:i/>
          <w:lang w:bidi="ar-SA"/>
        </w:rPr>
        <w:t xml:space="preserve">opatrení na zníženie FRCE </w:t>
      </w:r>
      <w:r w:rsidR="00536FF3" w:rsidRPr="00536FF3">
        <w:rPr>
          <w:rFonts w:eastAsia="Times New Roman"/>
          <w:i/>
          <w:lang w:bidi="ar-SA"/>
        </w:rPr>
        <w:t xml:space="preserve">(regulačná odchýlka obnovenia frekvencie)  </w:t>
      </w:r>
      <w:bookmarkStart w:id="5" w:name="_GoBack"/>
      <w:bookmarkEnd w:id="5"/>
      <w:r w:rsidR="00FC7F3D" w:rsidRPr="00D36240">
        <w:rPr>
          <w:rFonts w:eastAsia="Times New Roman"/>
          <w:i/>
          <w:lang w:bidi="ar-SA"/>
        </w:rPr>
        <w:t>vyžadovaním zmien vo výrobe alebo spotrebe činného výkonu jednotiek na výrobu elektrickej energie alebo odberných jednotiek v súlade s</w:t>
      </w:r>
      <w:r w:rsidR="001F3C39" w:rsidRPr="00D36240">
        <w:rPr>
          <w:rFonts w:eastAsia="Times New Roman"/>
          <w:i/>
          <w:lang w:bidi="ar-SA"/>
        </w:rPr>
        <w:t> </w:t>
      </w:r>
      <w:r w:rsidR="00FC7F3D" w:rsidRPr="00D36240">
        <w:rPr>
          <w:rFonts w:eastAsia="Times New Roman"/>
          <w:i/>
          <w:lang w:bidi="ar-SA"/>
        </w:rPr>
        <w:t>článkom</w:t>
      </w:r>
      <w:r w:rsidR="001F3C39" w:rsidRPr="00D36240">
        <w:rPr>
          <w:rFonts w:eastAsia="Times New Roman"/>
          <w:i/>
          <w:lang w:bidi="ar-SA"/>
        </w:rPr>
        <w:t xml:space="preserve"> Nariadenia SOGL </w:t>
      </w:r>
      <w:r w:rsidR="00FC7F3D" w:rsidRPr="00D36240">
        <w:rPr>
          <w:rFonts w:eastAsia="Times New Roman"/>
          <w:i/>
          <w:lang w:bidi="ar-SA"/>
        </w:rPr>
        <w:t xml:space="preserve"> 152 ods. 16</w:t>
      </w:r>
      <w:r w:rsidR="00FC7F3D" w:rsidRPr="00D36240">
        <w:rPr>
          <w:rFonts w:eastAsia="Times New Roman"/>
          <w:lang w:bidi="ar-SA"/>
        </w:rPr>
        <w:t>“</w:t>
      </w:r>
      <w:r w:rsidR="00697165" w:rsidRPr="00D36240">
        <w:rPr>
          <w:rFonts w:eastAsia="Times New Roman"/>
          <w:lang w:bidi="ar-SA"/>
        </w:rPr>
        <w:t>.</w:t>
      </w:r>
    </w:p>
    <w:p w14:paraId="215357E1" w14:textId="0EF6060B" w:rsidR="00470272" w:rsidRPr="00D36240" w:rsidRDefault="00697165" w:rsidP="00D36240">
      <w:pPr>
        <w:pStyle w:val="Odsekzoznamu"/>
        <w:ind w:left="357" w:hanging="357"/>
        <w:rPr>
          <w:rFonts w:eastAsia="Times New Roman"/>
          <w:i/>
          <w:lang w:bidi="ar-SA"/>
        </w:rPr>
      </w:pPr>
      <w:r w:rsidRPr="00D36240">
        <w:rPr>
          <w:rFonts w:eastAsia="Times New Roman"/>
          <w:lang w:bidi="ar-SA"/>
        </w:rPr>
        <w:t xml:space="preserve">Návrh </w:t>
      </w:r>
      <w:r w:rsidR="00FE5DBE" w:rsidRPr="00D36240">
        <w:rPr>
          <w:rFonts w:eastAsia="Times New Roman"/>
          <w:lang w:bidi="ar-SA"/>
        </w:rPr>
        <w:t xml:space="preserve">sa vzťahuje výhradne k </w:t>
      </w:r>
      <w:r w:rsidR="00470272" w:rsidRPr="00D36240">
        <w:rPr>
          <w:rFonts w:eastAsia="Times New Roman"/>
          <w:lang w:bidi="ar-SA"/>
        </w:rPr>
        <w:t>‘</w:t>
      </w:r>
      <w:r w:rsidR="00FE5DBE" w:rsidRPr="00D36240">
        <w:rPr>
          <w:rFonts w:eastAsia="Times New Roman"/>
          <w:lang w:bidi="ar-SA"/>
        </w:rPr>
        <w:t>normálnemu stavu</w:t>
      </w:r>
      <w:r w:rsidR="00470272" w:rsidRPr="00D36240">
        <w:rPr>
          <w:rFonts w:eastAsia="Times New Roman"/>
          <w:lang w:bidi="ar-SA"/>
        </w:rPr>
        <w:t xml:space="preserve">’ </w:t>
      </w:r>
      <w:r w:rsidR="00FE5DBE" w:rsidRPr="00D36240">
        <w:rPr>
          <w:rFonts w:eastAsia="Times New Roman"/>
          <w:lang w:bidi="ar-SA"/>
        </w:rPr>
        <w:t xml:space="preserve">a stavu </w:t>
      </w:r>
      <w:r w:rsidR="00470272" w:rsidRPr="00D36240">
        <w:rPr>
          <w:rFonts w:eastAsia="Times New Roman"/>
          <w:lang w:bidi="ar-SA"/>
        </w:rPr>
        <w:t>‘</w:t>
      </w:r>
      <w:r w:rsidR="00FE5DBE" w:rsidRPr="00D36240">
        <w:rPr>
          <w:rFonts w:eastAsia="Times New Roman"/>
          <w:lang w:bidi="ar-SA"/>
        </w:rPr>
        <w:t>ohrozenia’ prenosovej sústavy</w:t>
      </w:r>
      <w:r w:rsidR="00155CB6">
        <w:rPr>
          <w:rFonts w:eastAsia="Times New Roman"/>
          <w:lang w:bidi="ar-SA"/>
        </w:rPr>
        <w:t>,</w:t>
      </w:r>
      <w:r w:rsidR="00FE5DBE" w:rsidRPr="00D36240">
        <w:rPr>
          <w:rFonts w:eastAsia="Times New Roman"/>
          <w:lang w:bidi="ar-SA"/>
        </w:rPr>
        <w:t xml:space="preserve"> tak ako sú definované článkom 18 </w:t>
      </w:r>
      <w:r w:rsidR="001F3C39" w:rsidRPr="00D36240">
        <w:rPr>
          <w:rFonts w:eastAsia="Times New Roman"/>
          <w:lang w:bidi="ar-SA"/>
        </w:rPr>
        <w:t>N</w:t>
      </w:r>
      <w:r w:rsidR="00FE5DBE" w:rsidRPr="00D36240">
        <w:rPr>
          <w:rFonts w:eastAsia="Times New Roman"/>
          <w:lang w:bidi="ar-SA"/>
        </w:rPr>
        <w:t xml:space="preserve">ariadenia SOGL. </w:t>
      </w:r>
      <w:r w:rsidR="005F6D6B" w:rsidRPr="00D36240">
        <w:rPr>
          <w:rFonts w:eastAsia="Times New Roman"/>
          <w:lang w:bidi="ar-SA"/>
        </w:rPr>
        <w:t xml:space="preserve">Tiež na </w:t>
      </w:r>
      <w:r w:rsidR="00FE5DBE" w:rsidRPr="00D36240">
        <w:rPr>
          <w:rFonts w:eastAsia="Times New Roman"/>
          <w:lang w:bidi="ar-SA"/>
        </w:rPr>
        <w:t>‘</w:t>
      </w:r>
      <w:r w:rsidR="005F6D6B" w:rsidRPr="00D36240">
        <w:rPr>
          <w:rFonts w:eastAsia="Times New Roman"/>
          <w:lang w:bidi="ar-SA"/>
        </w:rPr>
        <w:t>s</w:t>
      </w:r>
      <w:r w:rsidR="00FE5DBE" w:rsidRPr="00D36240">
        <w:rPr>
          <w:rFonts w:eastAsia="Times New Roman"/>
          <w:lang w:bidi="ar-SA"/>
        </w:rPr>
        <w:t>tav núdze‘,</w:t>
      </w:r>
      <w:r w:rsidR="00C57B0E" w:rsidRPr="00D36240">
        <w:rPr>
          <w:rFonts w:eastAsia="Times New Roman"/>
          <w:lang w:bidi="ar-SA"/>
        </w:rPr>
        <w:t xml:space="preserve"> </w:t>
      </w:r>
      <w:r w:rsidR="00FE5DBE" w:rsidRPr="00D36240">
        <w:rPr>
          <w:rFonts w:eastAsia="Times New Roman"/>
          <w:lang w:bidi="ar-SA"/>
        </w:rPr>
        <w:t xml:space="preserve">‘stav bez napätia‘ a ‘stav obnovy‘ </w:t>
      </w:r>
      <w:r w:rsidR="005F6D6B" w:rsidRPr="00D36240">
        <w:rPr>
          <w:rFonts w:eastAsia="Times New Roman"/>
          <w:lang w:bidi="ar-SA"/>
        </w:rPr>
        <w:t xml:space="preserve">podľa </w:t>
      </w:r>
      <w:r w:rsidR="00127823" w:rsidRPr="00D36240">
        <w:rPr>
          <w:rFonts w:eastAsia="Times New Roman"/>
          <w:lang w:bidi="ar-SA"/>
        </w:rPr>
        <w:t>Nariaden</w:t>
      </w:r>
      <w:r w:rsidR="005F6D6B" w:rsidRPr="00D36240">
        <w:rPr>
          <w:rFonts w:eastAsia="Times New Roman"/>
          <w:lang w:bidi="ar-SA"/>
        </w:rPr>
        <w:t>ia</w:t>
      </w:r>
      <w:r w:rsidR="00127823" w:rsidRPr="00D36240">
        <w:rPr>
          <w:rFonts w:eastAsia="Times New Roman"/>
          <w:lang w:bidi="ar-SA"/>
        </w:rPr>
        <w:t xml:space="preserve"> Komisie (EÚ) 2017/2196 z 24. novembra 2017, ktorým sa stanovuje sieťový predpis o stavoch núdze a obnovy prevádzky v sektore elektrickej energie</w:t>
      </w:r>
      <w:r w:rsidR="00470272" w:rsidRPr="00D36240">
        <w:rPr>
          <w:rFonts w:eastAsia="Times New Roman"/>
          <w:lang w:bidi="ar-SA"/>
        </w:rPr>
        <w:t xml:space="preserve">. </w:t>
      </w:r>
      <w:r w:rsidR="00127823" w:rsidRPr="00D36240">
        <w:rPr>
          <w:rFonts w:eastAsia="Times New Roman"/>
          <w:lang w:bidi="ar-SA"/>
        </w:rPr>
        <w:t xml:space="preserve">Opatrenia </w:t>
      </w:r>
      <w:r w:rsidR="00127823" w:rsidRPr="003F5A70">
        <w:rPr>
          <w:rFonts w:eastAsia="Times New Roman"/>
          <w:i/>
          <w:lang w:bidi="ar-SA"/>
        </w:rPr>
        <w:t>uvedené v to</w:t>
      </w:r>
      <w:r w:rsidR="00127823" w:rsidRPr="00D36240">
        <w:rPr>
          <w:rFonts w:eastAsia="Times New Roman"/>
          <w:i/>
          <w:lang w:bidi="ar-SA"/>
        </w:rPr>
        <w:t xml:space="preserve">mto návrhu slúžia na predchádzanie a zamedzenie vzniku stavu núdze. </w:t>
      </w:r>
    </w:p>
    <w:p w14:paraId="75BF7B48" w14:textId="1F42FCE0" w:rsidR="00061953" w:rsidRPr="003F5A70" w:rsidRDefault="00127823" w:rsidP="00D36240">
      <w:pPr>
        <w:pStyle w:val="Odsekzoznamu"/>
        <w:ind w:left="357" w:hanging="357"/>
        <w:rPr>
          <w:rFonts w:eastAsia="Times New Roman"/>
          <w:lang w:bidi="ar-SA"/>
        </w:rPr>
      </w:pPr>
      <w:r w:rsidRPr="003F5A70">
        <w:rPr>
          <w:rFonts w:eastAsia="Times New Roman"/>
          <w:lang w:bidi="ar-SA"/>
        </w:rPr>
        <w:t>Podľa článku 6 ods. 3 písm. e</w:t>
      </w:r>
      <w:r w:rsidR="001F3C39" w:rsidRPr="003F5A70">
        <w:rPr>
          <w:rFonts w:eastAsia="Times New Roman"/>
          <w:lang w:bidi="ar-SA"/>
        </w:rPr>
        <w:t>)</w:t>
      </w:r>
      <w:r w:rsidR="00B8395A" w:rsidRPr="003F5A70">
        <w:rPr>
          <w:rFonts w:eastAsia="Times New Roman"/>
          <w:lang w:bidi="ar-SA"/>
        </w:rPr>
        <w:t xml:space="preserve"> </w:t>
      </w:r>
      <w:r w:rsidR="001F3C39" w:rsidRPr="003F5A70">
        <w:rPr>
          <w:rFonts w:eastAsia="Times New Roman"/>
          <w:lang w:bidi="ar-SA"/>
        </w:rPr>
        <w:t>N</w:t>
      </w:r>
      <w:r w:rsidR="00B8395A" w:rsidRPr="003F5A70">
        <w:rPr>
          <w:rFonts w:eastAsia="Times New Roman"/>
          <w:lang w:bidi="ar-SA"/>
        </w:rPr>
        <w:t>ariadenia SOGL</w:t>
      </w:r>
      <w:r w:rsidRPr="003F5A70">
        <w:rPr>
          <w:rFonts w:eastAsia="Times New Roman"/>
          <w:lang w:bidi="ar-SA"/>
        </w:rPr>
        <w:t xml:space="preserve"> sú „</w:t>
      </w:r>
      <w:r w:rsidR="006905D7" w:rsidRPr="003F5A70">
        <w:rPr>
          <w:rFonts w:eastAsia="Times New Roman"/>
          <w:lang w:bidi="ar-SA"/>
        </w:rPr>
        <w:t>metodiky a podmienky uveden</w:t>
      </w:r>
      <w:r w:rsidR="006905D7" w:rsidRPr="003F5A70">
        <w:rPr>
          <w:rFonts w:eastAsia="Times New Roman" w:hint="eastAsia"/>
          <w:lang w:bidi="ar-SA"/>
        </w:rPr>
        <w:t>é</w:t>
      </w:r>
      <w:r w:rsidR="006905D7" w:rsidRPr="003F5A70">
        <w:rPr>
          <w:rFonts w:eastAsia="Times New Roman"/>
          <w:lang w:bidi="ar-SA"/>
        </w:rPr>
        <w:t xml:space="preserve"> v prev</w:t>
      </w:r>
      <w:r w:rsidR="006905D7" w:rsidRPr="003F5A70">
        <w:rPr>
          <w:rFonts w:eastAsia="Times New Roman" w:hint="eastAsia"/>
          <w:lang w:bidi="ar-SA"/>
        </w:rPr>
        <w:t>á</w:t>
      </w:r>
      <w:r w:rsidR="006905D7" w:rsidRPr="003F5A70">
        <w:rPr>
          <w:rFonts w:eastAsia="Times New Roman"/>
          <w:lang w:bidi="ar-SA"/>
        </w:rPr>
        <w:t>dzkov</w:t>
      </w:r>
      <w:r w:rsidR="006905D7" w:rsidRPr="003F5A70">
        <w:rPr>
          <w:rFonts w:eastAsia="Times New Roman" w:hint="eastAsia"/>
          <w:lang w:bidi="ar-SA"/>
        </w:rPr>
        <w:t>ý</w:t>
      </w:r>
      <w:r w:rsidR="006905D7" w:rsidRPr="003F5A70">
        <w:rPr>
          <w:rFonts w:eastAsia="Times New Roman"/>
          <w:lang w:bidi="ar-SA"/>
        </w:rPr>
        <w:t>ch dohod</w:t>
      </w:r>
      <w:r w:rsidR="006905D7" w:rsidRPr="003F5A70">
        <w:rPr>
          <w:rFonts w:eastAsia="Times New Roman" w:hint="eastAsia"/>
          <w:lang w:bidi="ar-SA"/>
        </w:rPr>
        <w:t>á</w:t>
      </w:r>
      <w:r w:rsidR="006905D7" w:rsidRPr="003F5A70">
        <w:rPr>
          <w:rFonts w:eastAsia="Times New Roman"/>
          <w:lang w:bidi="ar-SA"/>
        </w:rPr>
        <w:t>ch pre bloky LFC pod</w:t>
      </w:r>
      <w:r w:rsidR="006905D7" w:rsidRPr="003F5A70">
        <w:rPr>
          <w:rFonts w:eastAsia="Times New Roman" w:hint="eastAsia"/>
          <w:lang w:bidi="ar-SA"/>
        </w:rPr>
        <w:t>ľ</w:t>
      </w:r>
      <w:r w:rsidR="006905D7" w:rsidRPr="003F5A70">
        <w:rPr>
          <w:rFonts w:eastAsia="Times New Roman"/>
          <w:lang w:bidi="ar-SA"/>
        </w:rPr>
        <w:t xml:space="preserve">a </w:t>
      </w:r>
      <w:r w:rsidR="006905D7" w:rsidRPr="003F5A70">
        <w:rPr>
          <w:rFonts w:eastAsia="Times New Roman" w:hint="eastAsia"/>
          <w:lang w:bidi="ar-SA"/>
        </w:rPr>
        <w:t>č</w:t>
      </w:r>
      <w:r w:rsidR="006905D7" w:rsidRPr="003F5A70">
        <w:rPr>
          <w:rFonts w:eastAsia="Times New Roman"/>
          <w:lang w:bidi="ar-SA"/>
        </w:rPr>
        <w:t>l</w:t>
      </w:r>
      <w:r w:rsidR="006905D7" w:rsidRPr="003F5A70">
        <w:rPr>
          <w:rFonts w:eastAsia="Times New Roman" w:hint="eastAsia"/>
          <w:lang w:bidi="ar-SA"/>
        </w:rPr>
        <w:t>á</w:t>
      </w:r>
      <w:r w:rsidR="006905D7" w:rsidRPr="003F5A70">
        <w:rPr>
          <w:rFonts w:eastAsia="Times New Roman"/>
          <w:lang w:bidi="ar-SA"/>
        </w:rPr>
        <w:t>nku 119</w:t>
      </w:r>
      <w:r w:rsidR="00F2693C">
        <w:rPr>
          <w:rFonts w:eastAsia="Times New Roman"/>
          <w:lang w:bidi="ar-SA"/>
        </w:rPr>
        <w:t xml:space="preserve"> Nariadenia SOGL</w:t>
      </w:r>
      <w:r w:rsidR="006905D7" w:rsidRPr="003F5A70">
        <w:rPr>
          <w:rFonts w:eastAsia="Times New Roman"/>
          <w:lang w:bidi="ar-SA"/>
        </w:rPr>
        <w:t>, ktor</w:t>
      </w:r>
      <w:r w:rsidR="006905D7" w:rsidRPr="003F5A70">
        <w:rPr>
          <w:rFonts w:eastAsia="Times New Roman" w:hint="eastAsia"/>
          <w:lang w:bidi="ar-SA"/>
        </w:rPr>
        <w:t>é</w:t>
      </w:r>
      <w:r w:rsidR="006905D7" w:rsidRPr="003F5A70">
        <w:rPr>
          <w:rFonts w:eastAsia="Times New Roman"/>
          <w:lang w:bidi="ar-SA"/>
        </w:rPr>
        <w:t xml:space="preserve"> sa t</w:t>
      </w:r>
      <w:r w:rsidR="006905D7" w:rsidRPr="003F5A70">
        <w:rPr>
          <w:rFonts w:eastAsia="Times New Roman" w:hint="eastAsia"/>
          <w:lang w:bidi="ar-SA"/>
        </w:rPr>
        <w:t>ý</w:t>
      </w:r>
      <w:r w:rsidR="006905D7" w:rsidRPr="003F5A70">
        <w:rPr>
          <w:rFonts w:eastAsia="Times New Roman"/>
          <w:lang w:bidi="ar-SA"/>
        </w:rPr>
        <w:t>kaj</w:t>
      </w:r>
      <w:r w:rsidR="006905D7" w:rsidRPr="003F5A70">
        <w:rPr>
          <w:rFonts w:eastAsia="Times New Roman" w:hint="eastAsia"/>
          <w:lang w:bidi="ar-SA"/>
        </w:rPr>
        <w:t>ú</w:t>
      </w:r>
      <w:r w:rsidR="006905D7" w:rsidRPr="003F5A70">
        <w:rPr>
          <w:rFonts w:eastAsia="Times New Roman"/>
          <w:lang w:bidi="ar-SA"/>
        </w:rPr>
        <w:t>:</w:t>
      </w:r>
    </w:p>
    <w:p w14:paraId="0EFEA5E6" w14:textId="5A2F2459" w:rsidR="00061953" w:rsidRPr="00D36240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D36240">
        <w:rPr>
          <w:rFonts w:eastAsia="Times New Roman" w:cs="Calibri"/>
          <w:i/>
          <w:szCs w:val="22"/>
          <w:lang w:bidi="ar-SA"/>
        </w:rPr>
        <w:t>obmedzen</w:t>
      </w:r>
      <w:r w:rsidRPr="00D36240">
        <w:rPr>
          <w:rFonts w:eastAsia="Times New Roman" w:cs="Calibri" w:hint="eastAsia"/>
          <w:i/>
          <w:szCs w:val="22"/>
          <w:lang w:bidi="ar-SA"/>
        </w:rPr>
        <w:t>í</w:t>
      </w:r>
      <w:r w:rsidRPr="00D36240">
        <w:rPr>
          <w:rFonts w:eastAsia="Times New Roman" w:cs="Calibri"/>
          <w:i/>
          <w:szCs w:val="22"/>
          <w:lang w:bidi="ar-SA"/>
        </w:rPr>
        <w:t xml:space="preserve"> line</w:t>
      </w:r>
      <w:r w:rsidRPr="00D36240">
        <w:rPr>
          <w:rFonts w:eastAsia="Times New Roman" w:cs="Calibri" w:hint="eastAsia"/>
          <w:i/>
          <w:szCs w:val="22"/>
          <w:lang w:bidi="ar-SA"/>
        </w:rPr>
        <w:t>á</w:t>
      </w:r>
      <w:r w:rsidRPr="00D36240">
        <w:rPr>
          <w:rFonts w:eastAsia="Times New Roman" w:cs="Calibri"/>
          <w:i/>
          <w:szCs w:val="22"/>
          <w:lang w:bidi="ar-SA"/>
        </w:rPr>
        <w:t xml:space="preserve">rnych zmien </w:t>
      </w:r>
      <w:r w:rsidRPr="00D36240">
        <w:rPr>
          <w:rFonts w:eastAsia="Times New Roman" w:cs="Calibri" w:hint="eastAsia"/>
          <w:i/>
          <w:szCs w:val="22"/>
          <w:lang w:bidi="ar-SA"/>
        </w:rPr>
        <w:t>č</w:t>
      </w:r>
      <w:r w:rsidRPr="00D36240">
        <w:rPr>
          <w:rFonts w:eastAsia="Times New Roman" w:cs="Calibri"/>
          <w:i/>
          <w:szCs w:val="22"/>
          <w:lang w:bidi="ar-SA"/>
        </w:rPr>
        <w:t>inn</w:t>
      </w:r>
      <w:r w:rsidRPr="00D36240">
        <w:rPr>
          <w:rFonts w:eastAsia="Times New Roman" w:cs="Calibri" w:hint="eastAsia"/>
          <w:i/>
          <w:szCs w:val="22"/>
          <w:lang w:bidi="ar-SA"/>
        </w:rPr>
        <w:t>é</w:t>
      </w:r>
      <w:r w:rsidRPr="00D36240">
        <w:rPr>
          <w:rFonts w:eastAsia="Times New Roman" w:cs="Calibri"/>
          <w:i/>
          <w:szCs w:val="22"/>
          <w:lang w:bidi="ar-SA"/>
        </w:rPr>
        <w:t>ho v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>konu na v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>stupe v s</w:t>
      </w:r>
      <w:r w:rsidRPr="00D36240">
        <w:rPr>
          <w:rFonts w:eastAsia="Times New Roman" w:cs="Calibri" w:hint="eastAsia"/>
          <w:i/>
          <w:szCs w:val="22"/>
          <w:lang w:bidi="ar-SA"/>
        </w:rPr>
        <w:t>ú</w:t>
      </w:r>
      <w:r w:rsidRPr="00D36240">
        <w:rPr>
          <w:rFonts w:eastAsia="Times New Roman" w:cs="Calibri"/>
          <w:i/>
          <w:szCs w:val="22"/>
          <w:lang w:bidi="ar-SA"/>
        </w:rPr>
        <w:t xml:space="preserve">lade s </w:t>
      </w:r>
      <w:r w:rsidRPr="00D36240">
        <w:rPr>
          <w:rFonts w:eastAsia="Times New Roman" w:cs="Calibri" w:hint="eastAsia"/>
          <w:i/>
          <w:szCs w:val="22"/>
          <w:lang w:bidi="ar-SA"/>
        </w:rPr>
        <w:t>č</w:t>
      </w:r>
      <w:r w:rsidRPr="00D36240">
        <w:rPr>
          <w:rFonts w:eastAsia="Times New Roman" w:cs="Calibri"/>
          <w:i/>
          <w:szCs w:val="22"/>
          <w:lang w:bidi="ar-SA"/>
        </w:rPr>
        <w:t>l</w:t>
      </w:r>
      <w:r w:rsidRPr="00D36240">
        <w:rPr>
          <w:rFonts w:eastAsia="Times New Roman" w:cs="Calibri" w:hint="eastAsia"/>
          <w:i/>
          <w:szCs w:val="22"/>
          <w:lang w:bidi="ar-SA"/>
        </w:rPr>
        <w:t>á</w:t>
      </w:r>
      <w:r w:rsidRPr="00D36240">
        <w:rPr>
          <w:rFonts w:eastAsia="Times New Roman" w:cs="Calibri"/>
          <w:i/>
          <w:szCs w:val="22"/>
          <w:lang w:bidi="ar-SA"/>
        </w:rPr>
        <w:t>nkom 137 ods. 3 a 4;</w:t>
      </w:r>
    </w:p>
    <w:p w14:paraId="6D94F9CC" w14:textId="33B6401F" w:rsidR="00061953" w:rsidRPr="00D36240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D36240">
        <w:rPr>
          <w:rFonts w:eastAsia="Times New Roman" w:cs="Calibri"/>
          <w:i/>
          <w:szCs w:val="22"/>
          <w:lang w:bidi="ar-SA"/>
        </w:rPr>
        <w:t>koordina</w:t>
      </w:r>
      <w:r w:rsidRPr="00D36240">
        <w:rPr>
          <w:rFonts w:eastAsia="Times New Roman" w:cs="Calibri" w:hint="eastAsia"/>
          <w:i/>
          <w:szCs w:val="22"/>
          <w:lang w:bidi="ar-SA"/>
        </w:rPr>
        <w:t>č</w:t>
      </w:r>
      <w:r w:rsidRPr="00D36240">
        <w:rPr>
          <w:rFonts w:eastAsia="Times New Roman" w:cs="Calibri"/>
          <w:i/>
          <w:szCs w:val="22"/>
          <w:lang w:bidi="ar-SA"/>
        </w:rPr>
        <w:t>n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>ch opatren</w:t>
      </w:r>
      <w:r w:rsidRPr="00D36240">
        <w:rPr>
          <w:rFonts w:eastAsia="Times New Roman" w:cs="Calibri" w:hint="eastAsia"/>
          <w:i/>
          <w:szCs w:val="22"/>
          <w:lang w:bidi="ar-SA"/>
        </w:rPr>
        <w:t>í</w:t>
      </w:r>
      <w:r w:rsidRPr="00D36240">
        <w:rPr>
          <w:rFonts w:eastAsia="Times New Roman" w:cs="Calibri"/>
          <w:i/>
          <w:szCs w:val="22"/>
          <w:lang w:bidi="ar-SA"/>
        </w:rPr>
        <w:t xml:space="preserve"> zameran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>ch na zn</w:t>
      </w:r>
      <w:r w:rsidRPr="00D36240">
        <w:rPr>
          <w:rFonts w:eastAsia="Times New Roman" w:cs="Calibri" w:hint="eastAsia"/>
          <w:i/>
          <w:szCs w:val="22"/>
          <w:lang w:bidi="ar-SA"/>
        </w:rPr>
        <w:t>íž</w:t>
      </w:r>
      <w:r w:rsidRPr="00D36240">
        <w:rPr>
          <w:rFonts w:eastAsia="Times New Roman" w:cs="Calibri"/>
          <w:i/>
          <w:szCs w:val="22"/>
          <w:lang w:bidi="ar-SA"/>
        </w:rPr>
        <w:t xml:space="preserve">enie FRCE v zmysle </w:t>
      </w:r>
      <w:r w:rsidRPr="00D36240">
        <w:rPr>
          <w:rFonts w:eastAsia="Times New Roman" w:cs="Calibri" w:hint="eastAsia"/>
          <w:i/>
          <w:szCs w:val="22"/>
          <w:lang w:bidi="ar-SA"/>
        </w:rPr>
        <w:t>č</w:t>
      </w:r>
      <w:r w:rsidRPr="00D36240">
        <w:rPr>
          <w:rFonts w:eastAsia="Times New Roman" w:cs="Calibri"/>
          <w:i/>
          <w:szCs w:val="22"/>
          <w:lang w:bidi="ar-SA"/>
        </w:rPr>
        <w:t>l</w:t>
      </w:r>
      <w:r w:rsidRPr="00D36240">
        <w:rPr>
          <w:rFonts w:eastAsia="Times New Roman" w:cs="Calibri" w:hint="eastAsia"/>
          <w:i/>
          <w:szCs w:val="22"/>
          <w:lang w:bidi="ar-SA"/>
        </w:rPr>
        <w:t>á</w:t>
      </w:r>
      <w:r w:rsidRPr="00D36240">
        <w:rPr>
          <w:rFonts w:eastAsia="Times New Roman" w:cs="Calibri"/>
          <w:i/>
          <w:szCs w:val="22"/>
          <w:lang w:bidi="ar-SA"/>
        </w:rPr>
        <w:t>nku 152 ods. 14;</w:t>
      </w:r>
    </w:p>
    <w:p w14:paraId="3E16A5AC" w14:textId="566870D8" w:rsidR="00C57B0E" w:rsidRPr="00D36240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D36240">
        <w:rPr>
          <w:rFonts w:eastAsia="Times New Roman" w:cs="Calibri"/>
          <w:i/>
          <w:szCs w:val="22"/>
          <w:lang w:bidi="ar-SA"/>
        </w:rPr>
        <w:t>opatren</w:t>
      </w:r>
      <w:r w:rsidRPr="00D36240">
        <w:rPr>
          <w:rFonts w:eastAsia="Times New Roman" w:cs="Calibri" w:hint="eastAsia"/>
          <w:i/>
          <w:szCs w:val="22"/>
          <w:lang w:bidi="ar-SA"/>
        </w:rPr>
        <w:t>í</w:t>
      </w:r>
      <w:r w:rsidRPr="00D36240">
        <w:rPr>
          <w:rFonts w:eastAsia="Times New Roman" w:cs="Calibri"/>
          <w:i/>
          <w:szCs w:val="22"/>
          <w:lang w:bidi="ar-SA"/>
        </w:rPr>
        <w:t xml:space="preserve"> na zn</w:t>
      </w:r>
      <w:r w:rsidRPr="00D36240">
        <w:rPr>
          <w:rFonts w:eastAsia="Times New Roman" w:cs="Calibri" w:hint="eastAsia"/>
          <w:i/>
          <w:szCs w:val="22"/>
          <w:lang w:bidi="ar-SA"/>
        </w:rPr>
        <w:t>íž</w:t>
      </w:r>
      <w:r w:rsidRPr="00D36240">
        <w:rPr>
          <w:rFonts w:eastAsia="Times New Roman" w:cs="Calibri"/>
          <w:i/>
          <w:szCs w:val="22"/>
          <w:lang w:bidi="ar-SA"/>
        </w:rPr>
        <w:t>enie FRCE vy</w:t>
      </w:r>
      <w:r w:rsidRPr="00D36240">
        <w:rPr>
          <w:rFonts w:eastAsia="Times New Roman" w:cs="Calibri" w:hint="eastAsia"/>
          <w:i/>
          <w:szCs w:val="22"/>
          <w:lang w:bidi="ar-SA"/>
        </w:rPr>
        <w:t>ž</w:t>
      </w:r>
      <w:r w:rsidRPr="00D36240">
        <w:rPr>
          <w:rFonts w:eastAsia="Times New Roman" w:cs="Calibri"/>
          <w:i/>
          <w:szCs w:val="22"/>
          <w:lang w:bidi="ar-SA"/>
        </w:rPr>
        <w:t>adovan</w:t>
      </w:r>
      <w:r w:rsidRPr="00D36240">
        <w:rPr>
          <w:rFonts w:eastAsia="Times New Roman" w:cs="Calibri" w:hint="eastAsia"/>
          <w:i/>
          <w:szCs w:val="22"/>
          <w:lang w:bidi="ar-SA"/>
        </w:rPr>
        <w:t>í</w:t>
      </w:r>
      <w:r w:rsidRPr="00D36240">
        <w:rPr>
          <w:rFonts w:eastAsia="Times New Roman" w:cs="Calibri"/>
          <w:i/>
          <w:szCs w:val="22"/>
          <w:lang w:bidi="ar-SA"/>
        </w:rPr>
        <w:t>m zmien vo v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 xml:space="preserve">robe alebo spotrebe </w:t>
      </w:r>
      <w:r w:rsidRPr="00D36240">
        <w:rPr>
          <w:rFonts w:eastAsia="Times New Roman" w:cs="Calibri" w:hint="eastAsia"/>
          <w:i/>
          <w:szCs w:val="22"/>
          <w:lang w:bidi="ar-SA"/>
        </w:rPr>
        <w:t>č</w:t>
      </w:r>
      <w:r w:rsidRPr="00D36240">
        <w:rPr>
          <w:rFonts w:eastAsia="Times New Roman" w:cs="Calibri"/>
          <w:i/>
          <w:szCs w:val="22"/>
          <w:lang w:bidi="ar-SA"/>
        </w:rPr>
        <w:t>inn</w:t>
      </w:r>
      <w:r w:rsidRPr="00D36240">
        <w:rPr>
          <w:rFonts w:eastAsia="Times New Roman" w:cs="Calibri" w:hint="eastAsia"/>
          <w:i/>
          <w:szCs w:val="22"/>
          <w:lang w:bidi="ar-SA"/>
        </w:rPr>
        <w:t>é</w:t>
      </w:r>
      <w:r w:rsidRPr="00D36240">
        <w:rPr>
          <w:rFonts w:eastAsia="Times New Roman" w:cs="Calibri"/>
          <w:i/>
          <w:szCs w:val="22"/>
          <w:lang w:bidi="ar-SA"/>
        </w:rPr>
        <w:t>ho v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>konu jednotiek na v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>robu elektrickej energie alebo odbern</w:t>
      </w:r>
      <w:r w:rsidRPr="00D36240">
        <w:rPr>
          <w:rFonts w:eastAsia="Times New Roman" w:cs="Calibri" w:hint="eastAsia"/>
          <w:i/>
          <w:szCs w:val="22"/>
          <w:lang w:bidi="ar-SA"/>
        </w:rPr>
        <w:t>ý</w:t>
      </w:r>
      <w:r w:rsidRPr="00D36240">
        <w:rPr>
          <w:rFonts w:eastAsia="Times New Roman" w:cs="Calibri"/>
          <w:i/>
          <w:szCs w:val="22"/>
          <w:lang w:bidi="ar-SA"/>
        </w:rPr>
        <w:t>ch jednotiek v s</w:t>
      </w:r>
      <w:r w:rsidRPr="00D36240">
        <w:rPr>
          <w:rFonts w:eastAsia="Times New Roman" w:cs="Calibri" w:hint="eastAsia"/>
          <w:i/>
          <w:szCs w:val="22"/>
          <w:lang w:bidi="ar-SA"/>
        </w:rPr>
        <w:t>ú</w:t>
      </w:r>
      <w:r w:rsidRPr="00D36240">
        <w:rPr>
          <w:rFonts w:eastAsia="Times New Roman" w:cs="Calibri"/>
          <w:i/>
          <w:szCs w:val="22"/>
          <w:lang w:bidi="ar-SA"/>
        </w:rPr>
        <w:t xml:space="preserve">lade s </w:t>
      </w:r>
      <w:r w:rsidRPr="00D36240">
        <w:rPr>
          <w:rFonts w:eastAsia="Times New Roman" w:cs="Calibri" w:hint="eastAsia"/>
          <w:i/>
          <w:szCs w:val="22"/>
          <w:lang w:bidi="ar-SA"/>
        </w:rPr>
        <w:t>č</w:t>
      </w:r>
      <w:r w:rsidRPr="00D36240">
        <w:rPr>
          <w:rFonts w:eastAsia="Times New Roman" w:cs="Calibri"/>
          <w:i/>
          <w:szCs w:val="22"/>
          <w:lang w:bidi="ar-SA"/>
        </w:rPr>
        <w:t>l</w:t>
      </w:r>
      <w:r w:rsidRPr="00D36240">
        <w:rPr>
          <w:rFonts w:eastAsia="Times New Roman" w:cs="Calibri" w:hint="eastAsia"/>
          <w:i/>
          <w:szCs w:val="22"/>
          <w:lang w:bidi="ar-SA"/>
        </w:rPr>
        <w:t>á</w:t>
      </w:r>
      <w:r w:rsidRPr="00D36240">
        <w:rPr>
          <w:rFonts w:eastAsia="Times New Roman" w:cs="Calibri"/>
          <w:i/>
          <w:szCs w:val="22"/>
          <w:lang w:bidi="ar-SA"/>
        </w:rPr>
        <w:t>nkom 152 ods. 16;</w:t>
      </w:r>
    </w:p>
    <w:p w14:paraId="7989BD22" w14:textId="7FBDE322" w:rsidR="00470272" w:rsidRPr="00D36240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D36240">
        <w:rPr>
          <w:rFonts w:eastAsia="Times New Roman" w:cs="Calibri"/>
          <w:i/>
          <w:szCs w:val="22"/>
          <w:lang w:bidi="ar-SA"/>
        </w:rPr>
        <w:lastRenderedPageBreak/>
        <w:t>pravidiel dimenzovania FRR v s</w:t>
      </w:r>
      <w:r w:rsidRPr="00D36240">
        <w:rPr>
          <w:rFonts w:eastAsia="Times New Roman" w:cs="Calibri" w:hint="eastAsia"/>
          <w:i/>
          <w:szCs w:val="22"/>
          <w:lang w:bidi="ar-SA"/>
        </w:rPr>
        <w:t>ú</w:t>
      </w:r>
      <w:r w:rsidRPr="00D36240">
        <w:rPr>
          <w:rFonts w:eastAsia="Times New Roman" w:cs="Calibri"/>
          <w:i/>
          <w:szCs w:val="22"/>
          <w:lang w:bidi="ar-SA"/>
        </w:rPr>
        <w:t xml:space="preserve">lade s </w:t>
      </w:r>
      <w:r w:rsidRPr="00D36240">
        <w:rPr>
          <w:rFonts w:eastAsia="Times New Roman" w:cs="Calibri" w:hint="eastAsia"/>
          <w:i/>
          <w:szCs w:val="22"/>
          <w:lang w:bidi="ar-SA"/>
        </w:rPr>
        <w:t>č</w:t>
      </w:r>
      <w:r w:rsidRPr="00D36240">
        <w:rPr>
          <w:rFonts w:eastAsia="Times New Roman" w:cs="Calibri"/>
          <w:i/>
          <w:szCs w:val="22"/>
          <w:lang w:bidi="ar-SA"/>
        </w:rPr>
        <w:t>l</w:t>
      </w:r>
      <w:r w:rsidRPr="00D36240">
        <w:rPr>
          <w:rFonts w:eastAsia="Times New Roman" w:cs="Calibri" w:hint="eastAsia"/>
          <w:i/>
          <w:szCs w:val="22"/>
          <w:lang w:bidi="ar-SA"/>
        </w:rPr>
        <w:t>á</w:t>
      </w:r>
      <w:r w:rsidRPr="00D36240">
        <w:rPr>
          <w:rFonts w:eastAsia="Times New Roman" w:cs="Calibri"/>
          <w:i/>
          <w:szCs w:val="22"/>
          <w:lang w:bidi="ar-SA"/>
        </w:rPr>
        <w:t>nkom 157 ods. 1;</w:t>
      </w:r>
      <w:r w:rsidR="0005760C" w:rsidRPr="00D36240">
        <w:rPr>
          <w:rFonts w:eastAsia="Times New Roman" w:cs="Calibri"/>
          <w:i/>
          <w:szCs w:val="22"/>
          <w:lang w:bidi="ar-SA"/>
        </w:rPr>
        <w:t>“</w:t>
      </w:r>
    </w:p>
    <w:p w14:paraId="19B2D58D" w14:textId="6E0B586B" w:rsidR="001157CF" w:rsidRDefault="00127823" w:rsidP="006A0EFD">
      <w:pPr>
        <w:spacing w:line="240" w:lineRule="auto"/>
        <w:ind w:left="360"/>
        <w:rPr>
          <w:rFonts w:eastAsia="Times New Roman" w:cs="Calibri"/>
          <w:szCs w:val="22"/>
          <w:highlight w:val="yellow"/>
          <w:lang w:bidi="ar-SA"/>
        </w:rPr>
      </w:pPr>
      <w:r w:rsidRPr="00D36240">
        <w:rPr>
          <w:rFonts w:eastAsia="Times New Roman" w:cs="Calibri"/>
          <w:szCs w:val="22"/>
          <w:lang w:bidi="ar-SA"/>
        </w:rPr>
        <w:t xml:space="preserve">predmetom schválenia všetkými regulačnými orgánmi dotknutého regiónu. Nakoľko je SEPS jediným prevádzkovateľom LFC bloku </w:t>
      </w:r>
      <w:r w:rsidR="001A254F" w:rsidRPr="00D36240">
        <w:rPr>
          <w:rFonts w:eastAsia="Times New Roman" w:cs="Calibri"/>
          <w:szCs w:val="22"/>
          <w:lang w:bidi="ar-SA"/>
        </w:rPr>
        <w:t xml:space="preserve">na území Slovenskej republiky, </w:t>
      </w:r>
      <w:r w:rsidR="00C57B0E" w:rsidRPr="00D36240">
        <w:rPr>
          <w:rFonts w:eastAsia="Times New Roman" w:cs="Calibri"/>
          <w:szCs w:val="22"/>
          <w:lang w:bidi="ar-SA"/>
        </w:rPr>
        <w:t xml:space="preserve">je </w:t>
      </w:r>
      <w:r w:rsidR="00D53D44" w:rsidRPr="00D36240">
        <w:rPr>
          <w:rFonts w:eastAsia="Times New Roman" w:cs="Calibri"/>
          <w:szCs w:val="22"/>
          <w:lang w:bidi="ar-SA"/>
        </w:rPr>
        <w:t>N</w:t>
      </w:r>
      <w:r w:rsidRPr="00D36240">
        <w:rPr>
          <w:rFonts w:eastAsia="Times New Roman" w:cs="Calibri"/>
          <w:szCs w:val="22"/>
          <w:lang w:bidi="ar-SA"/>
        </w:rPr>
        <w:t xml:space="preserve">ávrh </w:t>
      </w:r>
      <w:r w:rsidR="00BA3D82">
        <w:rPr>
          <w:rFonts w:eastAsia="Times New Roman" w:cs="Calibri"/>
          <w:szCs w:val="22"/>
          <w:lang w:bidi="ar-SA"/>
        </w:rPr>
        <w:t xml:space="preserve">vo forme metodiky </w:t>
      </w:r>
      <w:r w:rsidRPr="00D36240">
        <w:rPr>
          <w:rFonts w:eastAsia="Times New Roman" w:cs="Calibri"/>
          <w:szCs w:val="22"/>
          <w:lang w:bidi="ar-SA"/>
        </w:rPr>
        <w:t xml:space="preserve">prekladaný na schválenie </w:t>
      </w:r>
      <w:r w:rsidR="005F6D6B" w:rsidRPr="00D36240">
        <w:rPr>
          <w:rFonts w:eastAsia="Times New Roman" w:cs="Calibri"/>
          <w:szCs w:val="22"/>
          <w:lang w:bidi="ar-SA"/>
        </w:rPr>
        <w:t>Úradu pre reguláciu sieťových odvetví</w:t>
      </w:r>
      <w:r w:rsidR="0076194E" w:rsidRPr="00D36240">
        <w:rPr>
          <w:rFonts w:eastAsia="Times New Roman" w:cs="Calibri"/>
          <w:szCs w:val="22"/>
          <w:lang w:bidi="ar-SA"/>
        </w:rPr>
        <w:t xml:space="preserve"> (ďalej len „ÚRSO“)</w:t>
      </w:r>
      <w:r w:rsidR="005F6D6B" w:rsidRPr="00D36240">
        <w:rPr>
          <w:rFonts w:eastAsia="Times New Roman" w:cs="Calibri"/>
          <w:szCs w:val="22"/>
          <w:lang w:bidi="ar-SA"/>
        </w:rPr>
        <w:t xml:space="preserve">. </w:t>
      </w:r>
    </w:p>
    <w:p w14:paraId="5BCC45F0" w14:textId="77777777" w:rsidR="00013AAE" w:rsidRPr="00013AAE" w:rsidRDefault="00013AAE" w:rsidP="00013AAE">
      <w:pPr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szCs w:val="22"/>
          <w:highlight w:val="yellow"/>
          <w:lang w:bidi="ar-SA"/>
        </w:rPr>
      </w:pPr>
    </w:p>
    <w:p w14:paraId="0E335CD3" w14:textId="5A597CA0" w:rsidR="000B1BAD" w:rsidRDefault="00CF6320" w:rsidP="00CF6320">
      <w:pPr>
        <w:pStyle w:val="Nadpis1"/>
      </w:pPr>
      <w:r>
        <w:t>Č</w:t>
      </w:r>
      <w:r w:rsidR="006D13BB">
        <w:t>lánok 1 -</w:t>
      </w:r>
      <w:r>
        <w:t xml:space="preserve"> </w:t>
      </w:r>
      <w:r w:rsidRPr="00CF6320">
        <w:t>Predmet a rozsah pôsobnosti</w:t>
      </w:r>
    </w:p>
    <w:p w14:paraId="1BCA48D5" w14:textId="131B4EF4" w:rsidR="00CF6320" w:rsidRPr="003F5A70" w:rsidRDefault="00EA6DA3" w:rsidP="003F5A70">
      <w:pPr>
        <w:pStyle w:val="Odsekzoznamu"/>
        <w:numPr>
          <w:ilvl w:val="0"/>
          <w:numId w:val="22"/>
        </w:numPr>
        <w:rPr>
          <w:rFonts w:eastAsia="Times New Roman"/>
          <w:lang w:bidi="ar-SA"/>
        </w:rPr>
      </w:pPr>
      <w:r w:rsidRPr="003F5A70">
        <w:rPr>
          <w:rFonts w:eastAsia="Times New Roman"/>
          <w:lang w:bidi="ar-SA"/>
        </w:rPr>
        <w:t xml:space="preserve">Predmetom </w:t>
      </w:r>
      <w:r w:rsidR="00D53D44" w:rsidRPr="003F5A70">
        <w:rPr>
          <w:rFonts w:eastAsia="Times New Roman"/>
          <w:lang w:bidi="ar-SA"/>
        </w:rPr>
        <w:t>N</w:t>
      </w:r>
      <w:r w:rsidR="007D6ED7" w:rsidRPr="003F5A70">
        <w:rPr>
          <w:rFonts w:eastAsia="Times New Roman"/>
          <w:lang w:bidi="ar-SA"/>
        </w:rPr>
        <w:t>ávrh</w:t>
      </w:r>
      <w:r w:rsidR="00084A14" w:rsidRPr="003F5A70">
        <w:rPr>
          <w:rFonts w:eastAsia="Times New Roman"/>
          <w:lang w:bidi="ar-SA"/>
        </w:rPr>
        <w:t>u sú</w:t>
      </w:r>
      <w:r w:rsidR="007D6ED7" w:rsidRPr="003F5A70">
        <w:rPr>
          <w:rFonts w:eastAsia="Times New Roman"/>
          <w:lang w:bidi="ar-SA"/>
        </w:rPr>
        <w:t xml:space="preserve"> opatrenia na zníženie FRCE</w:t>
      </w:r>
      <w:r w:rsidR="00536FF3">
        <w:rPr>
          <w:rFonts w:eastAsia="Times New Roman"/>
          <w:lang w:bidi="ar-SA"/>
        </w:rPr>
        <w:t xml:space="preserve"> </w:t>
      </w:r>
      <w:r w:rsidR="007D6ED7" w:rsidRPr="003F5A70">
        <w:rPr>
          <w:rFonts w:eastAsia="Times New Roman"/>
          <w:lang w:bidi="ar-SA"/>
        </w:rPr>
        <w:t>vyžadovaním zmien vo výrobe ale</w:t>
      </w:r>
      <w:r w:rsidR="00245DF8" w:rsidRPr="003F5A70">
        <w:rPr>
          <w:rFonts w:eastAsia="Times New Roman"/>
          <w:lang w:bidi="ar-SA"/>
        </w:rPr>
        <w:t>bo spotrebe jednotiek na výrobu</w:t>
      </w:r>
      <w:r w:rsidR="007D6ED7" w:rsidRPr="003F5A70">
        <w:rPr>
          <w:rFonts w:eastAsia="Times New Roman"/>
          <w:lang w:bidi="ar-SA"/>
        </w:rPr>
        <w:t xml:space="preserve"> elektriny alebo odberných jednotiek podľa čl. 152</w:t>
      </w:r>
      <w:r w:rsidR="00B8395A" w:rsidRPr="003F5A70">
        <w:rPr>
          <w:rFonts w:eastAsia="Times New Roman"/>
          <w:lang w:bidi="ar-SA"/>
        </w:rPr>
        <w:t xml:space="preserve"> ods. </w:t>
      </w:r>
      <w:r w:rsidR="007D6ED7" w:rsidRPr="003F5A70">
        <w:rPr>
          <w:rFonts w:eastAsia="Times New Roman"/>
          <w:lang w:bidi="ar-SA"/>
        </w:rPr>
        <w:t>16</w:t>
      </w:r>
      <w:r w:rsidR="00B8395A" w:rsidRPr="003F5A70">
        <w:rPr>
          <w:rFonts w:eastAsia="Times New Roman"/>
          <w:lang w:bidi="ar-SA"/>
        </w:rPr>
        <w:t xml:space="preserve"> </w:t>
      </w:r>
      <w:r w:rsidR="001F3C39" w:rsidRPr="003F5A70">
        <w:rPr>
          <w:rFonts w:eastAsia="Times New Roman"/>
          <w:lang w:bidi="ar-SA"/>
        </w:rPr>
        <w:t>N</w:t>
      </w:r>
      <w:r w:rsidR="00B8395A" w:rsidRPr="003F5A70">
        <w:rPr>
          <w:rFonts w:eastAsia="Times New Roman"/>
          <w:lang w:bidi="ar-SA"/>
        </w:rPr>
        <w:t>ariadenia</w:t>
      </w:r>
      <w:r w:rsidR="007D6ED7" w:rsidRPr="003F5A70">
        <w:rPr>
          <w:rFonts w:eastAsia="Times New Roman"/>
          <w:lang w:bidi="ar-SA"/>
        </w:rPr>
        <w:t xml:space="preserve"> </w:t>
      </w:r>
      <w:r w:rsidR="00D80B3A" w:rsidRPr="003F5A70">
        <w:rPr>
          <w:rFonts w:eastAsia="Times New Roman"/>
          <w:lang w:bidi="ar-SA"/>
        </w:rPr>
        <w:t>SOGL</w:t>
      </w:r>
      <w:r w:rsidR="006D13BB" w:rsidRPr="003F5A70">
        <w:rPr>
          <w:rFonts w:eastAsia="Times New Roman"/>
          <w:lang w:bidi="ar-SA"/>
        </w:rPr>
        <w:t xml:space="preserve"> určený na verejnú konzultáciu</w:t>
      </w:r>
      <w:r w:rsidR="00D53D44" w:rsidRPr="003F5A70">
        <w:rPr>
          <w:rFonts w:eastAsia="Times New Roman"/>
          <w:lang w:bidi="ar-SA"/>
        </w:rPr>
        <w:t>.</w:t>
      </w:r>
    </w:p>
    <w:p w14:paraId="59786AE1" w14:textId="05915C58" w:rsidR="003F0D8F" w:rsidRDefault="006D13BB" w:rsidP="003F0D8F">
      <w:pPr>
        <w:pStyle w:val="Nadpis1"/>
      </w:pPr>
      <w:r>
        <w:t>Článok 2 -</w:t>
      </w:r>
      <w:r w:rsidR="00D676F7">
        <w:t xml:space="preserve"> </w:t>
      </w:r>
      <w:r w:rsidR="003F0D8F" w:rsidRPr="003F0D8F">
        <w:t>Definície použitých pojmov</w:t>
      </w:r>
    </w:p>
    <w:p w14:paraId="545B38E8" w14:textId="05014A1E" w:rsidR="00D80B3A" w:rsidRPr="00D80B3A" w:rsidRDefault="00245DF8" w:rsidP="003F5A70">
      <w:pPr>
        <w:pStyle w:val="Odsekzoznamu"/>
        <w:numPr>
          <w:ilvl w:val="0"/>
          <w:numId w:val="16"/>
        </w:numPr>
        <w:spacing w:line="240" w:lineRule="auto"/>
        <w:rPr>
          <w:lang w:bidi="ar-SA"/>
        </w:rPr>
      </w:pPr>
      <w:r w:rsidRPr="00245DF8">
        <w:rPr>
          <w:lang w:bidi="ar-SA"/>
        </w:rPr>
        <w:t xml:space="preserve">Na účely tohto </w:t>
      </w:r>
      <w:r w:rsidR="00F04EA9">
        <w:rPr>
          <w:lang w:bidi="ar-SA"/>
        </w:rPr>
        <w:t>N</w:t>
      </w:r>
      <w:r w:rsidRPr="00245DF8">
        <w:rPr>
          <w:lang w:bidi="ar-SA"/>
        </w:rPr>
        <w:t>ávrhu sa uplatňuje</w:t>
      </w:r>
      <w:r>
        <w:rPr>
          <w:lang w:bidi="ar-SA"/>
        </w:rPr>
        <w:t xml:space="preserve"> vymedzenie pojmov podľa </w:t>
      </w:r>
      <w:r w:rsidRPr="00245DF8">
        <w:rPr>
          <w:lang w:bidi="ar-SA"/>
        </w:rPr>
        <w:t xml:space="preserve">článku 3 </w:t>
      </w:r>
      <w:r w:rsidR="001F3C39">
        <w:rPr>
          <w:lang w:bidi="ar-SA"/>
        </w:rPr>
        <w:t>N</w:t>
      </w:r>
      <w:r w:rsidRPr="00245DF8">
        <w:rPr>
          <w:lang w:bidi="ar-SA"/>
        </w:rPr>
        <w:t xml:space="preserve">ariadenia SOGL. </w:t>
      </w:r>
    </w:p>
    <w:p w14:paraId="551A39E3" w14:textId="0C44B6CE" w:rsidR="00DF4516" w:rsidRPr="002C5A9D" w:rsidRDefault="006D13BB" w:rsidP="00DF4516">
      <w:pPr>
        <w:pStyle w:val="Nadpis1"/>
      </w:pPr>
      <w:r w:rsidRPr="002C5A9D">
        <w:t>Článok 3 -</w:t>
      </w:r>
      <w:r w:rsidR="00DF4516" w:rsidRPr="002C5A9D">
        <w:t xml:space="preserve"> </w:t>
      </w:r>
      <w:r w:rsidR="00DF4516" w:rsidRPr="00516EAF">
        <w:t>Opatrenia na zníženie FRCE vyžadovaním zmien vo výrobe alebo spotrebe jednotiek na výrobu elektriny alebo odberných jednotiek</w:t>
      </w:r>
    </w:p>
    <w:p w14:paraId="07AE244A" w14:textId="6233490B" w:rsidR="00066782" w:rsidRPr="003F5A70" w:rsidRDefault="00066782" w:rsidP="00516EAF">
      <w:pPr>
        <w:pStyle w:val="Odsekzoznamu"/>
        <w:numPr>
          <w:ilvl w:val="0"/>
          <w:numId w:val="24"/>
        </w:numPr>
        <w:rPr>
          <w:rFonts w:eastAsia="Times New Roman"/>
          <w:lang w:bidi="ar-SA"/>
        </w:rPr>
      </w:pPr>
      <w:r w:rsidRPr="003F5A70">
        <w:rPr>
          <w:rFonts w:eastAsia="Times New Roman"/>
          <w:lang w:bidi="ar-SA"/>
        </w:rPr>
        <w:t>Č</w:t>
      </w:r>
      <w:r w:rsidR="001F3C39" w:rsidRPr="003F5A70">
        <w:rPr>
          <w:rFonts w:eastAsia="Times New Roman"/>
          <w:lang w:bidi="ar-SA"/>
        </w:rPr>
        <w:t>lánok 152, ods. 12 N</w:t>
      </w:r>
      <w:r w:rsidRPr="003F5A70">
        <w:rPr>
          <w:rFonts w:eastAsia="Times New Roman"/>
          <w:lang w:bidi="ar-SA"/>
        </w:rPr>
        <w:t xml:space="preserve">ariadenia SOGL </w:t>
      </w:r>
      <w:r w:rsidR="00155CB6">
        <w:rPr>
          <w:rFonts w:eastAsia="Times New Roman"/>
          <w:lang w:bidi="ar-SA"/>
        </w:rPr>
        <w:t>uvádza</w:t>
      </w:r>
      <w:r w:rsidRPr="003F5A70">
        <w:rPr>
          <w:rFonts w:eastAsia="Times New Roman"/>
          <w:lang w:bidi="ar-SA"/>
        </w:rPr>
        <w:t xml:space="preserve">, </w:t>
      </w:r>
      <w:r w:rsidR="00155CB6">
        <w:rPr>
          <w:rFonts w:eastAsia="Times New Roman"/>
          <w:lang w:bidi="ar-SA"/>
        </w:rPr>
        <w:t xml:space="preserve">v prípade </w:t>
      </w:r>
      <w:r w:rsidRPr="003F5A70">
        <w:rPr>
          <w:rFonts w:eastAsia="Times New Roman"/>
          <w:lang w:bidi="ar-SA"/>
        </w:rPr>
        <w:t xml:space="preserve">že </w:t>
      </w:r>
      <w:r w:rsidR="00BB1B4C" w:rsidRPr="003F5A70">
        <w:rPr>
          <w:rFonts w:eastAsia="Times New Roman"/>
          <w:lang w:bidi="ar-SA"/>
        </w:rPr>
        <w:t xml:space="preserve">minútový priemer </w:t>
      </w:r>
      <w:r w:rsidRPr="003F5A70">
        <w:rPr>
          <w:rFonts w:eastAsia="Times New Roman"/>
          <w:lang w:bidi="ar-SA"/>
        </w:rPr>
        <w:t xml:space="preserve">FRCE v bloku LFC </w:t>
      </w:r>
      <w:r w:rsidR="00155CB6">
        <w:rPr>
          <w:rFonts w:eastAsia="Times New Roman"/>
          <w:lang w:bidi="ar-SA"/>
        </w:rPr>
        <w:t xml:space="preserve">je </w:t>
      </w:r>
      <w:r w:rsidR="00BB1B4C" w:rsidRPr="003F5A70">
        <w:rPr>
          <w:rFonts w:eastAsia="Times New Roman"/>
          <w:lang w:bidi="ar-SA"/>
        </w:rPr>
        <w:t>vyšší</w:t>
      </w:r>
      <w:r w:rsidRPr="003F5A70">
        <w:rPr>
          <w:rFonts w:eastAsia="Times New Roman"/>
          <w:lang w:bidi="ar-SA"/>
        </w:rPr>
        <w:t xml:space="preserve"> ako rozsah FRCE úrovne 2 aspoň počas obdobia potrebného na obnovenie frekvencie</w:t>
      </w:r>
      <w:r w:rsidR="003F5A70">
        <w:rPr>
          <w:rStyle w:val="Odkaznapoznmkupodiarou"/>
          <w:rFonts w:eastAsia="Times New Roman"/>
          <w:lang w:bidi="ar-SA"/>
        </w:rPr>
        <w:footnoteReference w:id="3"/>
      </w:r>
      <w:r w:rsidRPr="003F5A70">
        <w:rPr>
          <w:rFonts w:eastAsia="Times New Roman"/>
          <w:lang w:bidi="ar-SA"/>
        </w:rPr>
        <w:t xml:space="preserve"> a ak PPS v bloku LFC neočakáva, že sa FRCE dostatočne zníži v dôsledku prijatia opatrení na zníženie FRCE (využitím aktivácie</w:t>
      </w:r>
      <w:r w:rsidR="00D53D44" w:rsidRPr="003F5A70">
        <w:rPr>
          <w:rFonts w:eastAsia="Times New Roman"/>
          <w:lang w:bidi="ar-SA"/>
        </w:rPr>
        <w:t xml:space="preserve"> všetkých</w:t>
      </w:r>
      <w:r w:rsidRPr="003F5A70">
        <w:rPr>
          <w:rFonts w:eastAsia="Times New Roman"/>
          <w:lang w:bidi="ar-SA"/>
        </w:rPr>
        <w:t xml:space="preserve"> dostupných domácich a cezhraničných rezerv), PPS má právo požadovať zmeny vo výrobe alebo spotrebe činného výkonu jednotiek na výrobu elektrickej energie alebo odberných jednotiek v rámci ich príslušných oblastí.</w:t>
      </w:r>
    </w:p>
    <w:p w14:paraId="4E100222" w14:textId="628490A8" w:rsidR="00066782" w:rsidRPr="003F5A70" w:rsidRDefault="00066782" w:rsidP="003F5A70">
      <w:pPr>
        <w:pStyle w:val="Odsekzoznamu"/>
        <w:numPr>
          <w:ilvl w:val="0"/>
          <w:numId w:val="22"/>
        </w:numPr>
        <w:rPr>
          <w:rFonts w:eastAsia="Times New Roman"/>
          <w:lang w:bidi="ar-SA"/>
        </w:rPr>
      </w:pPr>
      <w:r w:rsidRPr="003F5A70">
        <w:rPr>
          <w:rFonts w:eastAsia="Times New Roman"/>
          <w:lang w:bidi="ar-SA"/>
        </w:rPr>
        <w:t>V zmysle návrhu prevádzkovej dohody pre synchrónnu oblasť Kontinentálna Európa je rozsah FRCE úrovne 2 pre SEPS stanoven</w:t>
      </w:r>
      <w:r w:rsidR="00D53D44" w:rsidRPr="003F5A70">
        <w:rPr>
          <w:rFonts w:eastAsia="Times New Roman"/>
          <w:lang w:bidi="ar-SA"/>
        </w:rPr>
        <w:t>ý</w:t>
      </w:r>
      <w:r w:rsidRPr="003F5A70">
        <w:rPr>
          <w:rFonts w:eastAsia="Times New Roman"/>
          <w:lang w:bidi="ar-SA"/>
        </w:rPr>
        <w:t xml:space="preserve"> na 93,253 MW. Po prekročení tohto limitu </w:t>
      </w:r>
      <w:r w:rsidR="00503E3A" w:rsidRPr="003F5A70">
        <w:rPr>
          <w:rFonts w:eastAsia="Times New Roman"/>
          <w:lang w:bidi="ar-SA"/>
        </w:rPr>
        <w:t>má</w:t>
      </w:r>
      <w:r w:rsidRPr="003F5A70">
        <w:rPr>
          <w:rFonts w:eastAsia="Times New Roman"/>
          <w:lang w:bidi="ar-SA"/>
        </w:rPr>
        <w:t xml:space="preserve"> SEPS </w:t>
      </w:r>
      <w:r w:rsidR="00503E3A" w:rsidRPr="003F5A70">
        <w:rPr>
          <w:rFonts w:eastAsia="Times New Roman"/>
          <w:lang w:bidi="ar-SA"/>
        </w:rPr>
        <w:t>právo požiadať zmeny vo výrobe alebo spotrebe činného výkonu zariadení na výrobu elektrickej energie alebo odberných jednotiek v rámci ich príslušných oblastí</w:t>
      </w:r>
      <w:r w:rsidRPr="003F5A70">
        <w:rPr>
          <w:rFonts w:eastAsia="Times New Roman"/>
          <w:lang w:bidi="ar-SA"/>
        </w:rPr>
        <w:t>.</w:t>
      </w:r>
    </w:p>
    <w:p w14:paraId="127A1947" w14:textId="5E287E61" w:rsidR="00066782" w:rsidRPr="003F5A70" w:rsidRDefault="001F3C39" w:rsidP="003F5A70">
      <w:pPr>
        <w:pStyle w:val="Odsekzoznamu"/>
        <w:numPr>
          <w:ilvl w:val="0"/>
          <w:numId w:val="22"/>
        </w:numPr>
        <w:rPr>
          <w:rFonts w:eastAsia="Times New Roman"/>
          <w:lang w:bidi="ar-SA"/>
        </w:rPr>
      </w:pPr>
      <w:r w:rsidRPr="003F5A70">
        <w:rPr>
          <w:rFonts w:eastAsia="Times New Roman"/>
          <w:lang w:bidi="ar-SA"/>
        </w:rPr>
        <w:t>Článok 152, ods. 13 N</w:t>
      </w:r>
      <w:r w:rsidR="00066782" w:rsidRPr="003F5A70">
        <w:rPr>
          <w:rFonts w:eastAsia="Times New Roman"/>
          <w:lang w:bidi="ar-SA"/>
        </w:rPr>
        <w:t xml:space="preserve">ariadenia SOGL </w:t>
      </w:r>
      <w:r w:rsidR="00155CB6">
        <w:rPr>
          <w:rFonts w:eastAsia="Times New Roman"/>
          <w:lang w:bidi="ar-SA"/>
        </w:rPr>
        <w:t>uvádza</w:t>
      </w:r>
      <w:r w:rsidR="00066782" w:rsidRPr="003F5A70">
        <w:rPr>
          <w:rFonts w:eastAsia="Times New Roman"/>
          <w:lang w:bidi="ar-SA"/>
        </w:rPr>
        <w:t>, v</w:t>
      </w:r>
      <w:r w:rsidR="00503E3A" w:rsidRPr="003F5A70">
        <w:rPr>
          <w:rFonts w:eastAsia="Times New Roman"/>
          <w:lang w:bidi="ar-SA"/>
        </w:rPr>
        <w:t> </w:t>
      </w:r>
      <w:r w:rsidR="00066782" w:rsidRPr="003F5A70">
        <w:rPr>
          <w:rFonts w:eastAsia="Times New Roman"/>
          <w:lang w:bidi="ar-SA"/>
        </w:rPr>
        <w:t>prípade</w:t>
      </w:r>
      <w:r w:rsidR="00503E3A" w:rsidRPr="003F5A70">
        <w:rPr>
          <w:rFonts w:eastAsia="Times New Roman"/>
          <w:lang w:bidi="ar-SA"/>
        </w:rPr>
        <w:t xml:space="preserve"> ak v</w:t>
      </w:r>
      <w:r w:rsidR="00066782" w:rsidRPr="003F5A70">
        <w:rPr>
          <w:rFonts w:eastAsia="Times New Roman"/>
          <w:lang w:bidi="ar-SA"/>
        </w:rPr>
        <w:t xml:space="preserve"> synchrónnej oblasti Kontinentálna Európa FRCE v bloku LFC prekročí 25 % hodnoty referenčného incidentu synchrónnej oblasti počas viac ako 30 po sebe nasledujúcich minút a ak PPS v danom bloku LFC neočakávajú, že v dôsledku prijatia opatrení aktivácie dostupných domácich a zahraničných rezerv sa FRCE dostatočne zníži, títo PPS musia vyžadovať zmeny vo výrobe </w:t>
      </w:r>
      <w:r w:rsidR="00066782" w:rsidRPr="003F5A70">
        <w:rPr>
          <w:rFonts w:eastAsia="Times New Roman"/>
          <w:lang w:bidi="ar-SA"/>
        </w:rPr>
        <w:lastRenderedPageBreak/>
        <w:t xml:space="preserve">alebo spotrebe činného výkonu jednotiek na výrobu elektrickej energie alebo odberných jednotiek v rámci ich príslušných oblastí s cieľom znížiť FRCE. </w:t>
      </w:r>
    </w:p>
    <w:p w14:paraId="3322CFFA" w14:textId="594958A7" w:rsidR="003F5A70" w:rsidRPr="003F5A70" w:rsidRDefault="00066782" w:rsidP="001D664D">
      <w:pPr>
        <w:pStyle w:val="Odsekzoznamu"/>
        <w:numPr>
          <w:ilvl w:val="0"/>
          <w:numId w:val="22"/>
        </w:numPr>
        <w:rPr>
          <w:rFonts w:eastAsia="Times New Roman"/>
          <w:lang w:bidi="ar-SA"/>
        </w:rPr>
      </w:pPr>
      <w:r w:rsidRPr="003F5A70">
        <w:rPr>
          <w:rFonts w:eastAsia="Times New Roman"/>
          <w:lang w:bidi="ar-SA"/>
        </w:rPr>
        <w:t xml:space="preserve">V zmysle návrhu prevádzkovej dohody pre synchrónnu oblasť RGCE, je 25% hodnoty referenčného incidentu 750 MW. Po prekročení tohto limitu </w:t>
      </w:r>
      <w:r w:rsidR="00D53D44" w:rsidRPr="003F5A70">
        <w:rPr>
          <w:rFonts w:eastAsia="Times New Roman"/>
          <w:lang w:bidi="ar-SA"/>
        </w:rPr>
        <w:t xml:space="preserve">počas viac ako 30 po sebe nasledujúcich minút musí </w:t>
      </w:r>
      <w:r w:rsidRPr="003F5A70">
        <w:rPr>
          <w:rFonts w:eastAsia="Times New Roman"/>
          <w:lang w:bidi="ar-SA"/>
        </w:rPr>
        <w:t>PPS požadovať príslušné zmeny vo výrobe a spotrebe.</w:t>
      </w:r>
    </w:p>
    <w:p w14:paraId="374E46AE" w14:textId="2297729C" w:rsidR="00D53D44" w:rsidRPr="003F5C1C" w:rsidRDefault="00D53D44" w:rsidP="00C65333">
      <w:pPr>
        <w:pStyle w:val="Odsekzoznamu"/>
        <w:numPr>
          <w:ilvl w:val="0"/>
          <w:numId w:val="22"/>
        </w:numPr>
        <w:rPr>
          <w:rFonts w:eastAsia="Times New Roman"/>
          <w:lang w:bidi="ar-SA"/>
        </w:rPr>
      </w:pPr>
      <w:r w:rsidRPr="00C65333">
        <w:rPr>
          <w:rFonts w:eastAsia="Times New Roman"/>
          <w:lang w:bidi="ar-SA"/>
        </w:rPr>
        <w:t xml:space="preserve">SEPS pri postupe obnovenia frekvencie (ďalej len „FRP“) v zmysle </w:t>
      </w:r>
      <w:r w:rsidR="001F3C39" w:rsidRPr="00C65333">
        <w:rPr>
          <w:rFonts w:eastAsia="Times New Roman"/>
          <w:lang w:bidi="ar-SA"/>
        </w:rPr>
        <w:t>N</w:t>
      </w:r>
      <w:r w:rsidRPr="00C65333">
        <w:rPr>
          <w:rFonts w:eastAsia="Times New Roman"/>
          <w:lang w:bidi="ar-SA"/>
        </w:rPr>
        <w:t xml:space="preserve">ariadenia SOGL využíva na obnovenie frekvencie na </w:t>
      </w:r>
      <w:r w:rsidRPr="003F5C1C">
        <w:rPr>
          <w:rFonts w:eastAsia="Times New Roman"/>
          <w:lang w:bidi="ar-SA"/>
        </w:rPr>
        <w:t>menovitú frekvenciu a na obnovenie výkonovej bilancie nasledovné opatrenia:</w:t>
      </w:r>
    </w:p>
    <w:p w14:paraId="26B34A17" w14:textId="4EAA527A" w:rsidR="00443C6A" w:rsidRPr="003F5C1C" w:rsidRDefault="00443C6A" w:rsidP="00A47733">
      <w:pPr>
        <w:pStyle w:val="Odsekzoznamu"/>
        <w:numPr>
          <w:ilvl w:val="1"/>
          <w:numId w:val="14"/>
        </w:numPr>
        <w:spacing w:line="240" w:lineRule="auto"/>
        <w:rPr>
          <w:lang w:bidi="ar-SA"/>
        </w:rPr>
      </w:pPr>
      <w:r w:rsidRPr="003F5C1C">
        <w:rPr>
          <w:lang w:bidi="ar-SA"/>
        </w:rPr>
        <w:t>Aktivácia</w:t>
      </w:r>
      <w:r w:rsidR="00D53D44" w:rsidRPr="003F5C1C">
        <w:rPr>
          <w:lang w:bidi="ar-SA"/>
        </w:rPr>
        <w:t xml:space="preserve"> dostupných rezerv podporných služieb typu FRR</w:t>
      </w:r>
      <w:r w:rsidR="00066782" w:rsidRPr="003F5C1C">
        <w:rPr>
          <w:lang w:bidi="ar-SA"/>
        </w:rPr>
        <w:t>,</w:t>
      </w:r>
    </w:p>
    <w:p w14:paraId="472E20C8" w14:textId="70819417" w:rsidR="00443C6A" w:rsidRPr="003F5C1C" w:rsidRDefault="00443C6A" w:rsidP="00A47733">
      <w:pPr>
        <w:pStyle w:val="Odsekzoznamu"/>
        <w:numPr>
          <w:ilvl w:val="1"/>
          <w:numId w:val="14"/>
        </w:numPr>
        <w:spacing w:line="240" w:lineRule="auto"/>
        <w:rPr>
          <w:lang w:bidi="ar-SA"/>
        </w:rPr>
      </w:pPr>
      <w:r w:rsidRPr="003F5C1C">
        <w:rPr>
          <w:lang w:bidi="ar-SA"/>
        </w:rPr>
        <w:t>Aktivácia dovozu regulačnej elektriny zo zahraničia v rámci zmlúv o havarijnej výpomoci</w:t>
      </w:r>
      <w:r w:rsidR="00066782" w:rsidRPr="003F5C1C">
        <w:rPr>
          <w:lang w:bidi="ar-SA"/>
        </w:rPr>
        <w:t>,</w:t>
      </w:r>
    </w:p>
    <w:p w14:paraId="4FAC7CFC" w14:textId="4D78464A" w:rsidR="00443C6A" w:rsidRPr="003F5C1C" w:rsidRDefault="00443C6A" w:rsidP="00BE080A">
      <w:pPr>
        <w:pStyle w:val="Odsekzoznamu"/>
        <w:numPr>
          <w:ilvl w:val="1"/>
          <w:numId w:val="14"/>
        </w:numPr>
        <w:spacing w:line="240" w:lineRule="auto"/>
        <w:ind w:left="1077" w:hanging="357"/>
        <w:contextualSpacing w:val="0"/>
        <w:rPr>
          <w:lang w:bidi="ar-SA"/>
        </w:rPr>
      </w:pPr>
      <w:r w:rsidRPr="003F5C1C">
        <w:rPr>
          <w:lang w:bidi="ar-SA"/>
        </w:rPr>
        <w:t>Nákup negarantovanej regulačnej elektriny</w:t>
      </w:r>
      <w:r w:rsidR="00AB1188">
        <w:rPr>
          <w:lang w:bidi="ar-SA"/>
        </w:rPr>
        <w:t xml:space="preserve"> a jej aktivácia</w:t>
      </w:r>
      <w:r w:rsidR="00066782" w:rsidRPr="003F5C1C">
        <w:rPr>
          <w:lang w:bidi="ar-SA"/>
        </w:rPr>
        <w:t>.</w:t>
      </w:r>
    </w:p>
    <w:p w14:paraId="2D586578" w14:textId="3192F5EE" w:rsidR="00594D04" w:rsidRPr="00516EAF" w:rsidRDefault="00443C6A" w:rsidP="00516EAF">
      <w:pPr>
        <w:pStyle w:val="Odsekzoznamu"/>
        <w:numPr>
          <w:ilvl w:val="0"/>
          <w:numId w:val="22"/>
        </w:numPr>
        <w:rPr>
          <w:rFonts w:eastAsia="Times New Roman"/>
          <w:lang w:bidi="ar-SA"/>
        </w:rPr>
      </w:pPr>
      <w:r w:rsidRPr="003F5C1C">
        <w:rPr>
          <w:rFonts w:eastAsia="Times New Roman"/>
          <w:lang w:bidi="ar-SA"/>
        </w:rPr>
        <w:t xml:space="preserve">Pokiaľ </w:t>
      </w:r>
      <w:r w:rsidR="00066782" w:rsidRPr="003F5C1C">
        <w:rPr>
          <w:rFonts w:eastAsia="Times New Roman"/>
          <w:lang w:bidi="ar-SA"/>
        </w:rPr>
        <w:t xml:space="preserve">sú </w:t>
      </w:r>
      <w:r w:rsidRPr="003F5C1C">
        <w:rPr>
          <w:rFonts w:eastAsia="Times New Roman"/>
          <w:lang w:bidi="ar-SA"/>
        </w:rPr>
        <w:t>základné opatrenia</w:t>
      </w:r>
      <w:r w:rsidR="00066782" w:rsidRPr="003F5C1C">
        <w:rPr>
          <w:rFonts w:eastAsia="Times New Roman"/>
          <w:lang w:bidi="ar-SA"/>
        </w:rPr>
        <w:t xml:space="preserve"> </w:t>
      </w:r>
      <w:r w:rsidR="00155CB6">
        <w:rPr>
          <w:rFonts w:eastAsia="Times New Roman"/>
          <w:lang w:bidi="ar-SA"/>
        </w:rPr>
        <w:t>podľa bodu 5 tohto článku</w:t>
      </w:r>
      <w:r w:rsidR="001157CF">
        <w:rPr>
          <w:rFonts w:eastAsia="Times New Roman"/>
          <w:lang w:bidi="ar-SA"/>
        </w:rPr>
        <w:t xml:space="preserve"> Návrhu</w:t>
      </w:r>
      <w:r w:rsidR="00155CB6">
        <w:rPr>
          <w:rFonts w:eastAsia="Times New Roman"/>
          <w:lang w:bidi="ar-SA"/>
        </w:rPr>
        <w:t xml:space="preserve"> </w:t>
      </w:r>
      <w:r w:rsidRPr="003F5C1C">
        <w:rPr>
          <w:rFonts w:eastAsia="Times New Roman"/>
          <w:lang w:bidi="ar-SA"/>
        </w:rPr>
        <w:t>vyčerpané a FRCE prek</w:t>
      </w:r>
      <w:r w:rsidR="005C4E49" w:rsidRPr="003F5C1C">
        <w:rPr>
          <w:rFonts w:eastAsia="Times New Roman"/>
          <w:lang w:bidi="ar-SA"/>
        </w:rPr>
        <w:t>račuje limity stanovené v čl</w:t>
      </w:r>
      <w:r w:rsidR="00B63D94" w:rsidRPr="003F5C1C">
        <w:rPr>
          <w:rFonts w:eastAsia="Times New Roman"/>
          <w:lang w:bidi="ar-SA"/>
        </w:rPr>
        <w:t>ánku</w:t>
      </w:r>
      <w:r w:rsidRPr="003F5C1C">
        <w:rPr>
          <w:rFonts w:eastAsia="Times New Roman"/>
          <w:lang w:bidi="ar-SA"/>
        </w:rPr>
        <w:t xml:space="preserve"> </w:t>
      </w:r>
      <w:r w:rsidR="001157CF">
        <w:rPr>
          <w:rFonts w:eastAsia="Times New Roman"/>
          <w:lang w:bidi="ar-SA"/>
        </w:rPr>
        <w:t xml:space="preserve">152 ods. </w:t>
      </w:r>
      <w:r w:rsidRPr="003F5C1C">
        <w:rPr>
          <w:rFonts w:eastAsia="Times New Roman"/>
          <w:lang w:bidi="ar-SA"/>
        </w:rPr>
        <w:t>12 a</w:t>
      </w:r>
      <w:r w:rsidR="00C01290" w:rsidRPr="003F5C1C">
        <w:rPr>
          <w:rFonts w:eastAsia="Times New Roman"/>
          <w:lang w:bidi="ar-SA"/>
        </w:rPr>
        <w:t>lebo</w:t>
      </w:r>
      <w:r w:rsidR="00B63D94" w:rsidRPr="003F5C1C">
        <w:rPr>
          <w:rFonts w:eastAsia="Times New Roman"/>
          <w:lang w:bidi="ar-SA"/>
        </w:rPr>
        <w:t> </w:t>
      </w:r>
      <w:r w:rsidR="001157CF">
        <w:rPr>
          <w:rFonts w:eastAsia="Times New Roman"/>
          <w:lang w:bidi="ar-SA"/>
        </w:rPr>
        <w:t xml:space="preserve">ods. </w:t>
      </w:r>
      <w:r w:rsidRPr="003F5C1C">
        <w:rPr>
          <w:rFonts w:eastAsia="Times New Roman"/>
          <w:lang w:bidi="ar-SA"/>
        </w:rPr>
        <w:t xml:space="preserve">13 </w:t>
      </w:r>
      <w:r w:rsidR="001F3C39" w:rsidRPr="003F5C1C">
        <w:rPr>
          <w:rFonts w:eastAsia="Times New Roman"/>
          <w:lang w:bidi="ar-SA"/>
        </w:rPr>
        <w:t>N</w:t>
      </w:r>
      <w:r w:rsidR="00066782" w:rsidRPr="003F5C1C">
        <w:rPr>
          <w:rFonts w:eastAsia="Times New Roman"/>
          <w:lang w:bidi="ar-SA"/>
        </w:rPr>
        <w:t xml:space="preserve">ariadenia </w:t>
      </w:r>
      <w:r w:rsidRPr="003F5C1C">
        <w:rPr>
          <w:rFonts w:eastAsia="Times New Roman"/>
          <w:lang w:bidi="ar-SA"/>
        </w:rPr>
        <w:t xml:space="preserve">SOGL, SEPS má právo žiadať </w:t>
      </w:r>
      <w:r w:rsidR="00594D04" w:rsidRPr="003F5C1C">
        <w:rPr>
          <w:rFonts w:eastAsia="Times New Roman"/>
          <w:lang w:bidi="ar-SA"/>
        </w:rPr>
        <w:t>zmeny</w:t>
      </w:r>
      <w:r w:rsidR="00594D04" w:rsidRPr="00516EAF">
        <w:rPr>
          <w:rFonts w:eastAsia="Times New Roman"/>
          <w:lang w:bidi="ar-SA"/>
        </w:rPr>
        <w:t xml:space="preserve"> vo výrobe alebo spotrebe činného výkonu jednotiek na výrobu elektrickej energie alebo odberných jednotiek v zmysle opatrení na predchádzane stavu núdze v elektroenergetike definovaných v § 20 Zákona č. 162/2018 Z. z., ktorým sa dopĺňa Zákon č. 251/2012 Z. z. - Zákon o energetike, v znení neskorších predpisov. </w:t>
      </w:r>
    </w:p>
    <w:p w14:paraId="108BA242" w14:textId="1961B992" w:rsidR="00EA6DA3" w:rsidRPr="00516EAF" w:rsidRDefault="00594D04" w:rsidP="00516EAF">
      <w:pPr>
        <w:pStyle w:val="Odsekzoznamu"/>
        <w:numPr>
          <w:ilvl w:val="0"/>
          <w:numId w:val="22"/>
        </w:numPr>
        <w:rPr>
          <w:rFonts w:eastAsia="Times New Roman"/>
          <w:lang w:bidi="ar-SA"/>
        </w:rPr>
      </w:pPr>
      <w:r w:rsidRPr="00516EAF">
        <w:rPr>
          <w:rFonts w:eastAsia="Times New Roman"/>
          <w:lang w:bidi="ar-SA"/>
        </w:rPr>
        <w:t>V prípade uvedenom v bode 6</w:t>
      </w:r>
      <w:r w:rsidR="001157CF">
        <w:rPr>
          <w:rFonts w:eastAsia="Times New Roman"/>
          <w:lang w:bidi="ar-SA"/>
        </w:rPr>
        <w:t xml:space="preserve"> Návrhu</w:t>
      </w:r>
      <w:r w:rsidRPr="00516EAF">
        <w:rPr>
          <w:rFonts w:eastAsia="Times New Roman"/>
          <w:lang w:bidi="ar-SA"/>
        </w:rPr>
        <w:t xml:space="preserve"> budú prevádzkovateľom prenosovej sústavy uplatnené existujúce opatrenia v zmysle Zákona 251/2012 Z . z. v znení neskorších predpisov.</w:t>
      </w:r>
    </w:p>
    <w:p w14:paraId="3560B0FE" w14:textId="2DB11FA4" w:rsidR="000F657C" w:rsidRPr="002C5A9D" w:rsidRDefault="006D13BB" w:rsidP="000F657C">
      <w:pPr>
        <w:pStyle w:val="Nadpis1"/>
      </w:pPr>
      <w:r w:rsidRPr="002C5A9D">
        <w:t xml:space="preserve">Článok 4 - </w:t>
      </w:r>
      <w:r w:rsidR="000F657C" w:rsidRPr="002C5A9D">
        <w:t xml:space="preserve">Časový plán </w:t>
      </w:r>
      <w:r w:rsidR="00245DF8" w:rsidRPr="002C5A9D">
        <w:t>implementácie</w:t>
      </w:r>
      <w:r w:rsidR="000F657C" w:rsidRPr="002C5A9D">
        <w:t xml:space="preserve"> </w:t>
      </w:r>
      <w:r w:rsidR="0076194E" w:rsidRPr="002C5A9D">
        <w:t xml:space="preserve">metodiky </w:t>
      </w:r>
    </w:p>
    <w:p w14:paraId="68B22B50" w14:textId="6DDAE1DF" w:rsidR="00013AAE" w:rsidRDefault="0076194E" w:rsidP="00C65333">
      <w:pPr>
        <w:pStyle w:val="Odsekzoznamu"/>
        <w:numPr>
          <w:ilvl w:val="0"/>
          <w:numId w:val="29"/>
        </w:numPr>
        <w:rPr>
          <w:rFonts w:eastAsia="Times New Roman"/>
        </w:rPr>
      </w:pPr>
      <w:r w:rsidRPr="00C65333">
        <w:rPr>
          <w:rFonts w:eastAsia="Times New Roman"/>
          <w:lang w:bidi="ar-SA"/>
        </w:rPr>
        <w:t>Táto metodika nadob</w:t>
      </w:r>
      <w:r w:rsidR="00D863A3">
        <w:rPr>
          <w:rFonts w:eastAsia="Times New Roman"/>
          <w:lang w:bidi="ar-SA"/>
        </w:rPr>
        <w:t>úda</w:t>
      </w:r>
      <w:r w:rsidRPr="00C65333">
        <w:rPr>
          <w:rFonts w:eastAsia="Times New Roman"/>
          <w:lang w:bidi="ar-SA"/>
        </w:rPr>
        <w:t xml:space="preserve"> platnosť v súlade s článkom 119 ods. 2 nariadenia SOGL </w:t>
      </w:r>
      <w:r w:rsidR="00644FE7" w:rsidRPr="00C65333">
        <w:rPr>
          <w:rFonts w:eastAsia="Times New Roman"/>
          <w:lang w:bidi="ar-SA"/>
        </w:rPr>
        <w:t>tri mesiace po</w:t>
      </w:r>
      <w:r w:rsidRPr="00C65333">
        <w:rPr>
          <w:rFonts w:eastAsia="Times New Roman"/>
          <w:lang w:bidi="ar-SA"/>
        </w:rPr>
        <w:t xml:space="preserve"> jej </w:t>
      </w:r>
      <w:r w:rsidR="00644FE7" w:rsidRPr="00C65333">
        <w:rPr>
          <w:rFonts w:eastAsia="Times New Roman"/>
          <w:lang w:bidi="ar-SA"/>
        </w:rPr>
        <w:t xml:space="preserve"> schválení ÚRSO v zmysle článku 6 ods. 3 písm</w:t>
      </w:r>
      <w:r w:rsidRPr="00C65333">
        <w:rPr>
          <w:rFonts w:eastAsia="Times New Roman"/>
          <w:lang w:bidi="ar-SA"/>
        </w:rPr>
        <w:t>.</w:t>
      </w:r>
      <w:r w:rsidR="00644FE7" w:rsidRPr="00C65333">
        <w:rPr>
          <w:rFonts w:eastAsia="Times New Roman"/>
          <w:lang w:bidi="ar-SA"/>
        </w:rPr>
        <w:t xml:space="preserve"> e) </w:t>
      </w:r>
      <w:r w:rsidR="001F3C39" w:rsidRPr="00C65333">
        <w:rPr>
          <w:rFonts w:eastAsia="Times New Roman"/>
          <w:lang w:bidi="ar-SA"/>
        </w:rPr>
        <w:t>N</w:t>
      </w:r>
      <w:r w:rsidRPr="00C65333">
        <w:rPr>
          <w:rFonts w:eastAsia="Times New Roman"/>
          <w:lang w:bidi="ar-SA"/>
        </w:rPr>
        <w:t xml:space="preserve">ariadenia </w:t>
      </w:r>
      <w:r w:rsidR="00644FE7" w:rsidRPr="00C65333">
        <w:rPr>
          <w:rFonts w:eastAsia="Times New Roman"/>
          <w:lang w:bidi="ar-SA"/>
        </w:rPr>
        <w:t>SOGL.</w:t>
      </w:r>
      <w:r w:rsidR="00644FE7" w:rsidRPr="00D36240">
        <w:rPr>
          <w:lang w:bidi="ar-SA"/>
        </w:rPr>
        <w:t xml:space="preserve"> </w:t>
      </w:r>
    </w:p>
    <w:p w14:paraId="00F980A0" w14:textId="696DFDBD" w:rsidR="000B1BAD" w:rsidRPr="00013AAE" w:rsidRDefault="000B1BAD" w:rsidP="00013AAE"/>
    <w:sectPr w:rsidR="000B1BAD" w:rsidRPr="00013AAE" w:rsidSect="00013A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/>
      <w:pgMar w:top="1418" w:right="1134" w:bottom="1276" w:left="1418" w:header="709" w:footer="61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FAC4" w14:textId="77777777" w:rsidR="00FA016B" w:rsidRDefault="00FA016B" w:rsidP="00EC70C9">
      <w:r>
        <w:separator/>
      </w:r>
    </w:p>
    <w:p w14:paraId="5265F47D" w14:textId="77777777" w:rsidR="00FA016B" w:rsidRDefault="00FA016B" w:rsidP="00EC70C9"/>
    <w:p w14:paraId="2C613D99" w14:textId="77777777" w:rsidR="00FA016B" w:rsidRDefault="00FA016B" w:rsidP="00EC70C9"/>
    <w:p w14:paraId="2984D66C" w14:textId="77777777" w:rsidR="00FA016B" w:rsidRDefault="00FA016B" w:rsidP="00EC70C9"/>
    <w:p w14:paraId="6822BDC8" w14:textId="77777777" w:rsidR="00FA016B" w:rsidRDefault="00FA016B" w:rsidP="00EC70C9"/>
    <w:p w14:paraId="17D7859D" w14:textId="77777777" w:rsidR="00FA016B" w:rsidRDefault="00FA016B" w:rsidP="00EC70C9"/>
    <w:p w14:paraId="422D975A" w14:textId="77777777" w:rsidR="00FA016B" w:rsidRDefault="00FA016B" w:rsidP="00EC70C9"/>
    <w:p w14:paraId="6A141DD3" w14:textId="77777777" w:rsidR="00FA016B" w:rsidRDefault="00FA016B"/>
  </w:endnote>
  <w:endnote w:type="continuationSeparator" w:id="0">
    <w:p w14:paraId="6021CD32" w14:textId="77777777" w:rsidR="00FA016B" w:rsidRDefault="00FA016B" w:rsidP="00EC70C9">
      <w:r>
        <w:continuationSeparator/>
      </w:r>
    </w:p>
    <w:p w14:paraId="0BC9D5F4" w14:textId="77777777" w:rsidR="00FA016B" w:rsidRDefault="00FA016B" w:rsidP="00EC70C9"/>
    <w:p w14:paraId="59219C80" w14:textId="77777777" w:rsidR="00FA016B" w:rsidRDefault="00FA016B" w:rsidP="00EC70C9"/>
    <w:p w14:paraId="797DB071" w14:textId="77777777" w:rsidR="00FA016B" w:rsidRDefault="00FA016B" w:rsidP="00EC70C9"/>
    <w:p w14:paraId="65E6C600" w14:textId="77777777" w:rsidR="00FA016B" w:rsidRDefault="00FA016B" w:rsidP="00EC70C9"/>
    <w:p w14:paraId="6146DE04" w14:textId="77777777" w:rsidR="00FA016B" w:rsidRDefault="00FA016B" w:rsidP="00EC70C9"/>
    <w:p w14:paraId="76C02E7E" w14:textId="77777777" w:rsidR="00FA016B" w:rsidRDefault="00FA016B" w:rsidP="00EC70C9"/>
    <w:p w14:paraId="45C49F52" w14:textId="77777777" w:rsidR="00FA016B" w:rsidRDefault="00FA016B"/>
  </w:endnote>
  <w:endnote w:type="continuationNotice" w:id="1">
    <w:p w14:paraId="3DE0DB52" w14:textId="77777777" w:rsidR="00FA016B" w:rsidRDefault="00FA016B">
      <w:pPr>
        <w:spacing w:before="0" w:after="0" w:line="240" w:lineRule="auto"/>
      </w:pPr>
    </w:p>
    <w:p w14:paraId="764AA13E" w14:textId="77777777" w:rsidR="00FA016B" w:rsidRDefault="00FA0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FA016B" w:rsidRDefault="00FA016B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B19AC0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FA016B" w:rsidRDefault="00FA016B" w:rsidP="00EC70C9"/>
  <w:p w14:paraId="0CBE5B6F" w14:textId="77777777" w:rsidR="00FA016B" w:rsidRDefault="00FA016B" w:rsidP="00EC70C9"/>
  <w:p w14:paraId="653298D2" w14:textId="77777777" w:rsidR="00FA016B" w:rsidRDefault="00FA016B"/>
  <w:p w14:paraId="38E5D8B3" w14:textId="77777777" w:rsidR="00FA016B" w:rsidRDefault="00FA01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93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210745961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407EFED" w14:textId="307B899D" w:rsidR="00FA016B" w:rsidRDefault="00FA016B" w:rsidP="00013AAE">
                <w:pPr>
                  <w:pStyle w:val="Pta"/>
                  <w:pBdr>
                    <w:bottom w:val="single" w:sz="12" w:space="1" w:color="auto"/>
                  </w:pBdr>
                  <w:tabs>
                    <w:tab w:val="clear" w:pos="8640"/>
                    <w:tab w:val="right" w:pos="9356"/>
                  </w:tabs>
                  <w:jc w:val="left"/>
                  <w:rPr>
                    <w:sz w:val="20"/>
                    <w:lang w:val="en-US"/>
                  </w:rPr>
                </w:pPr>
              </w:p>
              <w:p w14:paraId="2DEACF56" w14:textId="51461503" w:rsidR="00FA016B" w:rsidRDefault="00FA016B" w:rsidP="00013AAE">
                <w:pPr>
                  <w:pStyle w:val="Pta"/>
                  <w:tabs>
                    <w:tab w:val="clear" w:pos="8640"/>
                    <w:tab w:val="right" w:pos="9356"/>
                  </w:tabs>
                  <w:jc w:val="left"/>
                </w:pPr>
                <w:r w:rsidRPr="00013AAE">
                  <w:rPr>
                    <w:i/>
                    <w:sz w:val="20"/>
                  </w:rPr>
                  <w:t>Návrh metodiky „Opatrenia na zníženie FRCE vyžadovaním zmien vo výrobe alebo spotrebe jednotiek na výrobu elektriny alebo odberných jednotiek podľa čl. 152 ods. 16 Nariadenia SOGL“</w:t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 w:rsidRPr="00D84CB2">
                  <w:rPr>
                    <w:sz w:val="20"/>
                  </w:rPr>
                  <w:t xml:space="preserve">Strana </w:t>
                </w:r>
                <w:r w:rsidRPr="00D84CB2">
                  <w:rPr>
                    <w:b/>
                    <w:bCs/>
                    <w:sz w:val="20"/>
                  </w:rPr>
                  <w:fldChar w:fldCharType="begin"/>
                </w:r>
                <w:r w:rsidRPr="00D84CB2">
                  <w:rPr>
                    <w:b/>
                    <w:bCs/>
                    <w:sz w:val="20"/>
                  </w:rPr>
                  <w:instrText>PAGE</w:instrText>
                </w:r>
                <w:r w:rsidRPr="00D84CB2">
                  <w:rPr>
                    <w:b/>
                    <w:bCs/>
                    <w:sz w:val="20"/>
                  </w:rPr>
                  <w:fldChar w:fldCharType="separate"/>
                </w:r>
                <w:r w:rsidR="00536FF3">
                  <w:rPr>
                    <w:b/>
                    <w:bCs/>
                    <w:noProof/>
                    <w:sz w:val="20"/>
                  </w:rPr>
                  <w:t>4</w:t>
                </w:r>
                <w:r w:rsidRPr="00D84CB2">
                  <w:rPr>
                    <w:b/>
                    <w:bCs/>
                    <w:sz w:val="20"/>
                  </w:rPr>
                  <w:fldChar w:fldCharType="end"/>
                </w:r>
                <w:r w:rsidRPr="00D84CB2">
                  <w:rPr>
                    <w:sz w:val="20"/>
                  </w:rPr>
                  <w:t xml:space="preserve"> z </w:t>
                </w:r>
                <w:r w:rsidRPr="00013AAE">
                  <w:rPr>
                    <w:b/>
                    <w:sz w:val="20"/>
                  </w:rPr>
                  <w:t>4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AFE5" w14:textId="77777777" w:rsidR="00FA016B" w:rsidRDefault="00FA016B" w:rsidP="00EC70C9">
      <w:bookmarkStart w:id="0" w:name="_Hlk497928779"/>
      <w:bookmarkEnd w:id="0"/>
      <w:r>
        <w:separator/>
      </w:r>
    </w:p>
    <w:p w14:paraId="7E50A500" w14:textId="77777777" w:rsidR="00FA016B" w:rsidRDefault="00FA016B"/>
  </w:footnote>
  <w:footnote w:type="continuationSeparator" w:id="0">
    <w:p w14:paraId="2F9F81AD" w14:textId="77777777" w:rsidR="00FA016B" w:rsidRDefault="00FA016B" w:rsidP="00EC70C9">
      <w:r>
        <w:continuationSeparator/>
      </w:r>
    </w:p>
    <w:p w14:paraId="153E8E1C" w14:textId="77777777" w:rsidR="00FA016B" w:rsidRDefault="00FA016B" w:rsidP="00EC70C9"/>
    <w:p w14:paraId="1BDE8DDC" w14:textId="77777777" w:rsidR="00FA016B" w:rsidRDefault="00FA016B" w:rsidP="00EC70C9"/>
    <w:p w14:paraId="43F4E18D" w14:textId="77777777" w:rsidR="00FA016B" w:rsidRDefault="00FA016B" w:rsidP="00EC70C9"/>
    <w:p w14:paraId="247DB3A5" w14:textId="77777777" w:rsidR="00FA016B" w:rsidRDefault="00FA016B" w:rsidP="00EC70C9"/>
    <w:p w14:paraId="0561771E" w14:textId="77777777" w:rsidR="00FA016B" w:rsidRDefault="00FA016B" w:rsidP="00EC70C9"/>
    <w:p w14:paraId="072379E4" w14:textId="77777777" w:rsidR="00FA016B" w:rsidRDefault="00FA016B" w:rsidP="00EC70C9"/>
    <w:p w14:paraId="7707D7F2" w14:textId="77777777" w:rsidR="00FA016B" w:rsidRDefault="00FA016B"/>
  </w:footnote>
  <w:footnote w:type="continuationNotice" w:id="1">
    <w:p w14:paraId="7439B056" w14:textId="77777777" w:rsidR="00FA016B" w:rsidRDefault="00FA016B" w:rsidP="00EC70C9"/>
    <w:p w14:paraId="642EB8B2" w14:textId="77777777" w:rsidR="00FA016B" w:rsidRDefault="00FA016B" w:rsidP="00EC70C9"/>
    <w:p w14:paraId="6F707355" w14:textId="77777777" w:rsidR="00FA016B" w:rsidRDefault="00FA016B"/>
  </w:footnote>
  <w:footnote w:id="2">
    <w:p w14:paraId="5A1AE126" w14:textId="0C03F355" w:rsidR="00FA016B" w:rsidRDefault="00FA01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A016B">
        <w:t>Synchrónna oblasť Kontinentálna Európa pokrýva oblasť synchrónne prepojených prenosových sústav bývalého UCTE. Synchrónne prepojenie v takejto oblasti znamená, že jednotlivé prenosové sústavy sú medzi sebou vzájomne prepojené na základe rovnakej nominálnej frekvencie 50 Hz.</w:t>
      </w:r>
    </w:p>
  </w:footnote>
  <w:footnote w:id="3">
    <w:p w14:paraId="2DE3BFE3" w14:textId="549EB38D" w:rsidR="00FA016B" w:rsidRDefault="00FA016B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 w:rsidRPr="003F5A70">
        <w:t>Pre synchrónnu oblasť Kontinentálna Európa je čas potrebný na obnovenie frekvencie stano</w:t>
      </w:r>
      <w:r>
        <w:t>vený na 15 minút (podľa Prílohy </w:t>
      </w:r>
      <w:r w:rsidRPr="003F5A70">
        <w:t>III, Tabuľky 1 nariadenia SOGL)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FA016B" w:rsidRDefault="00FA016B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FA016B" w:rsidRDefault="00FA016B" w:rsidP="00EC70C9"/>
  <w:p w14:paraId="7350D2C4" w14:textId="77777777" w:rsidR="00FA016B" w:rsidRDefault="00FA01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3ED608E3" w:rsidR="00FA016B" w:rsidRPr="004C046D" w:rsidRDefault="00FA016B" w:rsidP="004C046D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8240" behindDoc="0" locked="0" layoutInCell="1" allowOverlap="1" wp14:anchorId="341FC601" wp14:editId="4C747F21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63E2" w14:textId="77777777" w:rsidR="00FA016B" w:rsidRDefault="00FA016B"/>
  <w:p w14:paraId="3EDD320B" w14:textId="77777777" w:rsidR="00FA016B" w:rsidRDefault="00FA01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AB49D" w14:textId="6D203988" w:rsidR="00FA016B" w:rsidRDefault="00FA016B" w:rsidP="006E580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5AF8550E"/>
    <w:lvl w:ilvl="0" w:tplc="49E43016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pacing w:val="1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4817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3AAE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EA"/>
    <w:rsid w:val="00041A19"/>
    <w:rsid w:val="00043A06"/>
    <w:rsid w:val="00044FE1"/>
    <w:rsid w:val="00045248"/>
    <w:rsid w:val="00046520"/>
    <w:rsid w:val="00046616"/>
    <w:rsid w:val="00047A73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66782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4124"/>
    <w:rsid w:val="00084A14"/>
    <w:rsid w:val="00090A62"/>
    <w:rsid w:val="00090CAA"/>
    <w:rsid w:val="00091E98"/>
    <w:rsid w:val="0009217D"/>
    <w:rsid w:val="00093AE3"/>
    <w:rsid w:val="00093D91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7CF"/>
    <w:rsid w:val="00115D58"/>
    <w:rsid w:val="00120C6E"/>
    <w:rsid w:val="001236E4"/>
    <w:rsid w:val="00126FD9"/>
    <w:rsid w:val="00127823"/>
    <w:rsid w:val="00134B50"/>
    <w:rsid w:val="00142E09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5CB6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4A05"/>
    <w:rsid w:val="001A14E7"/>
    <w:rsid w:val="001A1F16"/>
    <w:rsid w:val="001A2452"/>
    <w:rsid w:val="001A254F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D664D"/>
    <w:rsid w:val="001E0028"/>
    <w:rsid w:val="001E252B"/>
    <w:rsid w:val="001E3E4B"/>
    <w:rsid w:val="001E4206"/>
    <w:rsid w:val="001E4B22"/>
    <w:rsid w:val="001E775C"/>
    <w:rsid w:val="001F30FE"/>
    <w:rsid w:val="001F3C39"/>
    <w:rsid w:val="001F4408"/>
    <w:rsid w:val="001F5411"/>
    <w:rsid w:val="001F7A5E"/>
    <w:rsid w:val="00200324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4F2D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0F14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762DB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5A9D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6FB"/>
    <w:rsid w:val="00354844"/>
    <w:rsid w:val="00355172"/>
    <w:rsid w:val="00360F28"/>
    <w:rsid w:val="0036184C"/>
    <w:rsid w:val="00361CA2"/>
    <w:rsid w:val="00362022"/>
    <w:rsid w:val="00362B73"/>
    <w:rsid w:val="0036431A"/>
    <w:rsid w:val="00364A67"/>
    <w:rsid w:val="00364C9F"/>
    <w:rsid w:val="00365D80"/>
    <w:rsid w:val="003700B2"/>
    <w:rsid w:val="00373225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5A70"/>
    <w:rsid w:val="003F5C1C"/>
    <w:rsid w:val="003F6177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54AA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500E34"/>
    <w:rsid w:val="00502D5F"/>
    <w:rsid w:val="00503E3A"/>
    <w:rsid w:val="005059DE"/>
    <w:rsid w:val="0051275D"/>
    <w:rsid w:val="005136B6"/>
    <w:rsid w:val="005147F2"/>
    <w:rsid w:val="00514AB2"/>
    <w:rsid w:val="00514DFE"/>
    <w:rsid w:val="0051513B"/>
    <w:rsid w:val="005168CF"/>
    <w:rsid w:val="00516EA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533"/>
    <w:rsid w:val="00532AFA"/>
    <w:rsid w:val="00533470"/>
    <w:rsid w:val="00536A1B"/>
    <w:rsid w:val="00536FF3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57D"/>
    <w:rsid w:val="00576B88"/>
    <w:rsid w:val="005774D3"/>
    <w:rsid w:val="00581E67"/>
    <w:rsid w:val="00582143"/>
    <w:rsid w:val="00582A2C"/>
    <w:rsid w:val="00583A4F"/>
    <w:rsid w:val="00583CA5"/>
    <w:rsid w:val="00584E88"/>
    <w:rsid w:val="00585671"/>
    <w:rsid w:val="00590C07"/>
    <w:rsid w:val="005911A7"/>
    <w:rsid w:val="0059185E"/>
    <w:rsid w:val="00594D04"/>
    <w:rsid w:val="0059523C"/>
    <w:rsid w:val="005A0F68"/>
    <w:rsid w:val="005A2106"/>
    <w:rsid w:val="005A309C"/>
    <w:rsid w:val="005A4D72"/>
    <w:rsid w:val="005A73A9"/>
    <w:rsid w:val="005B37DB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5C3"/>
    <w:rsid w:val="005E4C79"/>
    <w:rsid w:val="005E5722"/>
    <w:rsid w:val="005E5997"/>
    <w:rsid w:val="005F2AF0"/>
    <w:rsid w:val="005F6D19"/>
    <w:rsid w:val="005F6D6B"/>
    <w:rsid w:val="0060004C"/>
    <w:rsid w:val="0060214B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3947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0EFD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E5806"/>
    <w:rsid w:val="006F3E15"/>
    <w:rsid w:val="006F5CF6"/>
    <w:rsid w:val="006F65C5"/>
    <w:rsid w:val="00701887"/>
    <w:rsid w:val="007040F1"/>
    <w:rsid w:val="00706922"/>
    <w:rsid w:val="00706996"/>
    <w:rsid w:val="00707622"/>
    <w:rsid w:val="007104A4"/>
    <w:rsid w:val="007108FB"/>
    <w:rsid w:val="00713FAD"/>
    <w:rsid w:val="0071465D"/>
    <w:rsid w:val="00722B26"/>
    <w:rsid w:val="007235D5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36087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94E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4146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937C2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3A6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0495C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2D24"/>
    <w:rsid w:val="0083459F"/>
    <w:rsid w:val="00834782"/>
    <w:rsid w:val="00835D77"/>
    <w:rsid w:val="008360BC"/>
    <w:rsid w:val="00836533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13D0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331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1FDA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C7034"/>
    <w:rsid w:val="009D1F19"/>
    <w:rsid w:val="009D2883"/>
    <w:rsid w:val="009D298A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9F7E9C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599"/>
    <w:rsid w:val="00A226B0"/>
    <w:rsid w:val="00A31807"/>
    <w:rsid w:val="00A346AC"/>
    <w:rsid w:val="00A35B3C"/>
    <w:rsid w:val="00A36AF6"/>
    <w:rsid w:val="00A403D8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166"/>
    <w:rsid w:val="00A87FDB"/>
    <w:rsid w:val="00AA0022"/>
    <w:rsid w:val="00AA0100"/>
    <w:rsid w:val="00AA1651"/>
    <w:rsid w:val="00AA2160"/>
    <w:rsid w:val="00AB1188"/>
    <w:rsid w:val="00AB3646"/>
    <w:rsid w:val="00AB386B"/>
    <w:rsid w:val="00AC1069"/>
    <w:rsid w:val="00AC3A52"/>
    <w:rsid w:val="00AC4693"/>
    <w:rsid w:val="00AC58F5"/>
    <w:rsid w:val="00AC6FE0"/>
    <w:rsid w:val="00AC78D2"/>
    <w:rsid w:val="00AC7E35"/>
    <w:rsid w:val="00AD1F3B"/>
    <w:rsid w:val="00AD22C2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59F1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046E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3D94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395A"/>
    <w:rsid w:val="00B83EC6"/>
    <w:rsid w:val="00B87A7F"/>
    <w:rsid w:val="00B90649"/>
    <w:rsid w:val="00B9412B"/>
    <w:rsid w:val="00B96075"/>
    <w:rsid w:val="00BA0A63"/>
    <w:rsid w:val="00BA3D82"/>
    <w:rsid w:val="00BA4053"/>
    <w:rsid w:val="00BA5633"/>
    <w:rsid w:val="00BA605B"/>
    <w:rsid w:val="00BB1B4C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80A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290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568F"/>
    <w:rsid w:val="00C46369"/>
    <w:rsid w:val="00C46691"/>
    <w:rsid w:val="00C517B2"/>
    <w:rsid w:val="00C5241A"/>
    <w:rsid w:val="00C526F4"/>
    <w:rsid w:val="00C53050"/>
    <w:rsid w:val="00C53DEA"/>
    <w:rsid w:val="00C5633B"/>
    <w:rsid w:val="00C57B0E"/>
    <w:rsid w:val="00C61830"/>
    <w:rsid w:val="00C62017"/>
    <w:rsid w:val="00C650FA"/>
    <w:rsid w:val="00C65333"/>
    <w:rsid w:val="00C65CA5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93A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C7A9B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8F0"/>
    <w:rsid w:val="00CE2E4F"/>
    <w:rsid w:val="00CE2E63"/>
    <w:rsid w:val="00CE398F"/>
    <w:rsid w:val="00CF4814"/>
    <w:rsid w:val="00CF4D0F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73E"/>
    <w:rsid w:val="00D33CA9"/>
    <w:rsid w:val="00D35720"/>
    <w:rsid w:val="00D35FD6"/>
    <w:rsid w:val="00D36240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3D44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63A3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3B0C"/>
    <w:rsid w:val="00DB55E9"/>
    <w:rsid w:val="00DB74C3"/>
    <w:rsid w:val="00DC03E1"/>
    <w:rsid w:val="00DC1C04"/>
    <w:rsid w:val="00DC2416"/>
    <w:rsid w:val="00DC501F"/>
    <w:rsid w:val="00DC52F4"/>
    <w:rsid w:val="00DC763A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045D"/>
    <w:rsid w:val="00E0120A"/>
    <w:rsid w:val="00E01B61"/>
    <w:rsid w:val="00E02519"/>
    <w:rsid w:val="00E02E18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187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57ED7"/>
    <w:rsid w:val="00E60897"/>
    <w:rsid w:val="00E621F4"/>
    <w:rsid w:val="00E628F4"/>
    <w:rsid w:val="00E62A79"/>
    <w:rsid w:val="00E641E7"/>
    <w:rsid w:val="00E6431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7B1D"/>
    <w:rsid w:val="00EA0985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048F"/>
    <w:rsid w:val="00F01F2D"/>
    <w:rsid w:val="00F02105"/>
    <w:rsid w:val="00F04761"/>
    <w:rsid w:val="00F04EA9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693C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016B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7B53A6"/>
    <w:pPr>
      <w:keepNext/>
      <w:spacing w:before="240" w:after="160" w:line="240" w:lineRule="auto"/>
      <w:outlineLvl w:val="0"/>
    </w:pPr>
    <w:rPr>
      <w:rFonts w:eastAsia="Times New Roman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7B53A6"/>
    <w:rPr>
      <w:rFonts w:ascii="Calibri" w:eastAsia="Times New Roman" w:hAnsi="Calibr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D36240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D36240"/>
    <w:rPr>
      <w:rFonts w:ascii="Calibri" w:eastAsiaTheme="minorEastAsia" w:hAnsi="Calibri" w:cstheme="minorBidi"/>
      <w:sz w:val="24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 w:val="24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F2CB2B9C948F1A0DCC8A4747CE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C8B5B-733A-4B2D-8B01-7562CF54DA80}"/>
      </w:docPartPr>
      <w:docPartBody>
        <w:p w:rsidR="00D325BB" w:rsidRDefault="009C4F4F" w:rsidP="009C4F4F">
          <w:pPr>
            <w:pStyle w:val="9ACF2CB2B9C948F1A0DCC8A4747CE7BB"/>
          </w:pPr>
          <w:r>
            <w:rPr>
              <w:color w:val="44546A" w:themeColor="text2"/>
            </w:rPr>
            <w:t>[Vyberte datum.]</w:t>
          </w:r>
        </w:p>
      </w:docPartBody>
    </w:docPart>
    <w:docPart>
      <w:docPartPr>
        <w:name w:val="A7D9754E100940D8881366A8C19A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9D86-BBDE-41BE-8966-A4F28B496396}"/>
      </w:docPartPr>
      <w:docPartBody>
        <w:p w:rsidR="00A2262A" w:rsidRDefault="009C4F4F">
          <w:pPr>
            <w:pStyle w:val="A7D9754E100940D8881366A8C19A7475"/>
          </w:pPr>
          <w:r>
            <w:rPr>
              <w:i/>
              <w:iCs/>
              <w:color w:val="44546A" w:themeColor="text2"/>
              <w:sz w:val="28"/>
              <w:szCs w:val="28"/>
            </w:rPr>
            <w:t>[Zadejte podtitul dokumentu.]</w:t>
          </w:r>
        </w:p>
      </w:docPartBody>
    </w:docPart>
    <w:docPart>
      <w:docPartPr>
        <w:name w:val="5FC92C9096A241C4AE9C797F1CE3C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66084-9F51-432F-B3D2-6EBB6E834FCF}"/>
      </w:docPartPr>
      <w:docPartBody>
        <w:p w:rsidR="008F0BDF" w:rsidRDefault="009C4F4F">
          <w:pPr>
            <w:pStyle w:val="5FC92C9096A241C4AE9C797F1CE3CA5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5"/>
    <w:rsid w:val="000C76AF"/>
    <w:rsid w:val="000D136A"/>
    <w:rsid w:val="001B2F10"/>
    <w:rsid w:val="002209DB"/>
    <w:rsid w:val="002217CF"/>
    <w:rsid w:val="0024789B"/>
    <w:rsid w:val="002B006B"/>
    <w:rsid w:val="003426E8"/>
    <w:rsid w:val="003469CB"/>
    <w:rsid w:val="00363CD8"/>
    <w:rsid w:val="003B4068"/>
    <w:rsid w:val="003C091A"/>
    <w:rsid w:val="003C5AE7"/>
    <w:rsid w:val="00415E85"/>
    <w:rsid w:val="00424592"/>
    <w:rsid w:val="00491070"/>
    <w:rsid w:val="00491DE8"/>
    <w:rsid w:val="004E21B4"/>
    <w:rsid w:val="004E708B"/>
    <w:rsid w:val="00573336"/>
    <w:rsid w:val="005B390F"/>
    <w:rsid w:val="005B43C1"/>
    <w:rsid w:val="006637B1"/>
    <w:rsid w:val="006C714C"/>
    <w:rsid w:val="00801825"/>
    <w:rsid w:val="008226A7"/>
    <w:rsid w:val="00823CAD"/>
    <w:rsid w:val="008F0BDF"/>
    <w:rsid w:val="0092099E"/>
    <w:rsid w:val="00930E76"/>
    <w:rsid w:val="00967A46"/>
    <w:rsid w:val="009C4F4F"/>
    <w:rsid w:val="009D43C2"/>
    <w:rsid w:val="00A2262A"/>
    <w:rsid w:val="00AD013D"/>
    <w:rsid w:val="00B37EF8"/>
    <w:rsid w:val="00BB777C"/>
    <w:rsid w:val="00BD1846"/>
    <w:rsid w:val="00BD3108"/>
    <w:rsid w:val="00C85025"/>
    <w:rsid w:val="00D325BB"/>
    <w:rsid w:val="00D40175"/>
    <w:rsid w:val="00E14731"/>
    <w:rsid w:val="00E842B7"/>
    <w:rsid w:val="00E8663C"/>
    <w:rsid w:val="00E87B9B"/>
    <w:rsid w:val="00EE46E6"/>
    <w:rsid w:val="00EE5501"/>
    <w:rsid w:val="00EF15C7"/>
    <w:rsid w:val="00F30F94"/>
    <w:rsid w:val="00F47BBC"/>
    <w:rsid w:val="00F60AE5"/>
    <w:rsid w:val="00F758C0"/>
    <w:rsid w:val="00F940AF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pBdr>
        <w:bottom w:val="single" w:sz="4" w:space="2" w:color="438086"/>
      </w:pBdr>
      <w:spacing w:before="360" w:after="80" w:line="276" w:lineRule="auto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2"/>
    <w:unhideWhenUsed/>
    <w:qFormat/>
    <w:pPr>
      <w:spacing w:after="0" w:line="276" w:lineRule="auto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9EC2589CB224B63AD0EDD904F3A1679">
    <w:name w:val="59EC2589CB224B63AD0EDD904F3A1679"/>
  </w:style>
  <w:style w:type="paragraph" w:customStyle="1" w:styleId="A9935FF904234A019B603C898BED03C5">
    <w:name w:val="A9935FF904234A019B603C898BED03C5"/>
  </w:style>
  <w:style w:type="paragraph" w:customStyle="1" w:styleId="CEEBB141C6424835A7A0404A95349F86">
    <w:name w:val="CEEBB141C6424835A7A0404A95349F86"/>
  </w:style>
  <w:style w:type="paragraph" w:customStyle="1" w:styleId="1D639694F49F48818B5C1BDBA9B1E88E">
    <w:name w:val="1D639694F49F48818B5C1BDBA9B1E88E"/>
  </w:style>
  <w:style w:type="paragraph" w:customStyle="1" w:styleId="71BCBC550E174321BF4AF5E819D6159C">
    <w:name w:val="71BCBC550E174321BF4AF5E819D6159C"/>
  </w:style>
  <w:style w:type="paragraph" w:customStyle="1" w:styleId="55D6B81C50E2496A8BF96687A1B3699D">
    <w:name w:val="55D6B81C50E2496A8BF96687A1B3699D"/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paragraph" w:customStyle="1" w:styleId="A88DF23B1A0A45F6ABBF45958A5D2E78">
    <w:name w:val="A88DF23B1A0A45F6ABBF45958A5D2E78"/>
  </w:style>
  <w:style w:type="paragraph" w:customStyle="1" w:styleId="625AD62AC60A4BDDAB09AA7670D475B1">
    <w:name w:val="625AD62AC60A4BDDAB09AA7670D475B1"/>
    <w:rsid w:val="00BD1846"/>
  </w:style>
  <w:style w:type="paragraph" w:customStyle="1" w:styleId="122BA8A2581E4EE88A2ED7977F661A1E">
    <w:name w:val="122BA8A2581E4EE88A2ED7977F661A1E"/>
    <w:rsid w:val="00BD1846"/>
  </w:style>
  <w:style w:type="paragraph" w:customStyle="1" w:styleId="932C8B26CB2F4B80B879F3FF6D852DCB">
    <w:name w:val="932C8B26CB2F4B80B879F3FF6D852DCB"/>
    <w:rsid w:val="00BD1846"/>
  </w:style>
  <w:style w:type="paragraph" w:customStyle="1" w:styleId="27C0360E85DB411685FFBBE48BA4F7F6">
    <w:name w:val="27C0360E85DB411685FFBBE48BA4F7F6"/>
    <w:rsid w:val="00BD1846"/>
  </w:style>
  <w:style w:type="paragraph" w:customStyle="1" w:styleId="D5CEAB798F6D4C0E987B8D993B646E46">
    <w:name w:val="D5CEAB798F6D4C0E987B8D993B646E46"/>
    <w:rsid w:val="00F47BBC"/>
  </w:style>
  <w:style w:type="paragraph" w:customStyle="1" w:styleId="814E2D87480A4CFD8DDCF169D76E6DBE">
    <w:name w:val="814E2D87480A4CFD8DDCF169D76E6DBE"/>
    <w:rsid w:val="00F47BBC"/>
  </w:style>
  <w:style w:type="paragraph" w:customStyle="1" w:styleId="A70AEAE8F39941B88B9CD2663AD30832">
    <w:name w:val="A70AEAE8F39941B88B9CD2663AD30832"/>
    <w:rsid w:val="00F47BBC"/>
  </w:style>
  <w:style w:type="paragraph" w:customStyle="1" w:styleId="457EADE0BD734399B7D5B475AA31E441">
    <w:name w:val="457EADE0BD734399B7D5B475AA31E441"/>
    <w:rsid w:val="00F47BBC"/>
  </w:style>
  <w:style w:type="paragraph" w:customStyle="1" w:styleId="D8F8ABC8855A4966B9DAEA8EC4A6DEE9">
    <w:name w:val="D8F8ABC8855A4966B9DAEA8EC4A6DEE9"/>
    <w:rsid w:val="00F47BBC"/>
  </w:style>
  <w:style w:type="paragraph" w:customStyle="1" w:styleId="D08229A27A47410C9C22F901269580F9">
    <w:name w:val="D08229A27A47410C9C22F901269580F9"/>
    <w:rsid w:val="009C4F4F"/>
  </w:style>
  <w:style w:type="paragraph" w:customStyle="1" w:styleId="BA282840A7544C1F90981F68D5F1B76D">
    <w:name w:val="BA282840A7544C1F90981F68D5F1B76D"/>
    <w:rsid w:val="009C4F4F"/>
  </w:style>
  <w:style w:type="paragraph" w:customStyle="1" w:styleId="74D814DD7E354D92B10AAECEC2FF31AA">
    <w:name w:val="74D814DD7E354D92B10AAECEC2FF31AA"/>
    <w:rsid w:val="009C4F4F"/>
  </w:style>
  <w:style w:type="paragraph" w:customStyle="1" w:styleId="42F60BB11C2745188A05A31DD6C5F202">
    <w:name w:val="42F60BB11C2745188A05A31DD6C5F202"/>
    <w:rsid w:val="009C4F4F"/>
  </w:style>
  <w:style w:type="paragraph" w:customStyle="1" w:styleId="7721385F23094F47A48D9143DD09D22B">
    <w:name w:val="7721385F23094F47A48D9143DD09D22B"/>
    <w:rsid w:val="009C4F4F"/>
  </w:style>
  <w:style w:type="paragraph" w:customStyle="1" w:styleId="E179F5AE5A6642E1ACE796FF3EE7759A">
    <w:name w:val="E179F5AE5A6642E1ACE796FF3EE7759A"/>
    <w:rsid w:val="009C4F4F"/>
  </w:style>
  <w:style w:type="paragraph" w:customStyle="1" w:styleId="516694B4881F4C98A26B5147858CB6A3">
    <w:name w:val="516694B4881F4C98A26B5147858CB6A3"/>
    <w:rsid w:val="009C4F4F"/>
  </w:style>
  <w:style w:type="paragraph" w:customStyle="1" w:styleId="CDB2D54E401A4B55BEB9EFC1E76AB282">
    <w:name w:val="CDB2D54E401A4B55BEB9EFC1E76AB282"/>
    <w:rsid w:val="009C4F4F"/>
  </w:style>
  <w:style w:type="paragraph" w:customStyle="1" w:styleId="273BAD0FB33146F9A213AE08A2C10AD6">
    <w:name w:val="273BAD0FB33146F9A213AE08A2C10AD6"/>
    <w:rsid w:val="009C4F4F"/>
  </w:style>
  <w:style w:type="paragraph" w:customStyle="1" w:styleId="C33DDC707C484745A0742D491E4B3963">
    <w:name w:val="C33DDC707C484745A0742D491E4B3963"/>
    <w:rsid w:val="009C4F4F"/>
  </w:style>
  <w:style w:type="paragraph" w:customStyle="1" w:styleId="1BD9ECFBAD124A50BE36772619E4E1CA">
    <w:name w:val="1BD9ECFBAD124A50BE36772619E4E1CA"/>
    <w:rsid w:val="009C4F4F"/>
  </w:style>
  <w:style w:type="paragraph" w:customStyle="1" w:styleId="19ACF7FE4BD045E7B3371D1AD7914C5C">
    <w:name w:val="19ACF7FE4BD045E7B3371D1AD7914C5C"/>
    <w:rsid w:val="009C4F4F"/>
  </w:style>
  <w:style w:type="paragraph" w:customStyle="1" w:styleId="A009DF7F6A384EC183AF24EA349314F0">
    <w:name w:val="A009DF7F6A384EC183AF24EA349314F0"/>
    <w:rsid w:val="009C4F4F"/>
  </w:style>
  <w:style w:type="paragraph" w:customStyle="1" w:styleId="C26205BBD82A472B8B0B17B6FE354246">
    <w:name w:val="C26205BBD82A472B8B0B17B6FE354246"/>
    <w:rsid w:val="009C4F4F"/>
  </w:style>
  <w:style w:type="paragraph" w:customStyle="1" w:styleId="3E999F24D7174C0CB34E362976AEFB7B">
    <w:name w:val="3E999F24D7174C0CB34E362976AEFB7B"/>
    <w:rsid w:val="009C4F4F"/>
  </w:style>
  <w:style w:type="paragraph" w:customStyle="1" w:styleId="00055CF9FE974A9992768C01D8FACE0C">
    <w:name w:val="00055CF9FE974A9992768C01D8FACE0C"/>
    <w:rsid w:val="009C4F4F"/>
  </w:style>
  <w:style w:type="paragraph" w:customStyle="1" w:styleId="C502F07E81884251B3A81297A4CF0F12">
    <w:name w:val="C502F07E81884251B3A81297A4CF0F12"/>
    <w:rsid w:val="009C4F4F"/>
  </w:style>
  <w:style w:type="paragraph" w:customStyle="1" w:styleId="B0EADBE68F474237A53AE8C97C5560D4">
    <w:name w:val="B0EADBE68F474237A53AE8C97C5560D4"/>
    <w:rsid w:val="009C4F4F"/>
  </w:style>
  <w:style w:type="paragraph" w:customStyle="1" w:styleId="8F16287E09F14B57BDBED21D0D71D841">
    <w:name w:val="8F16287E09F14B57BDBED21D0D71D841"/>
    <w:rsid w:val="009C4F4F"/>
  </w:style>
  <w:style w:type="paragraph" w:customStyle="1" w:styleId="A1C455731FBB405BAA1F6B029C87511C">
    <w:name w:val="A1C455731FBB405BAA1F6B029C87511C"/>
    <w:rsid w:val="009C4F4F"/>
  </w:style>
  <w:style w:type="paragraph" w:customStyle="1" w:styleId="C4721F50A2B94C45A775F1FCFBB0A34C">
    <w:name w:val="C4721F50A2B94C45A775F1FCFBB0A34C"/>
    <w:rsid w:val="009C4F4F"/>
  </w:style>
  <w:style w:type="paragraph" w:customStyle="1" w:styleId="5EB153331D414B68AB664058FE858B3F">
    <w:name w:val="5EB153331D414B68AB664058FE858B3F"/>
    <w:rsid w:val="009C4F4F"/>
  </w:style>
  <w:style w:type="paragraph" w:customStyle="1" w:styleId="4AEFBC4ECE8E4367839E60DA9D6C3247">
    <w:name w:val="4AEFBC4ECE8E4367839E60DA9D6C3247"/>
    <w:rsid w:val="009C4F4F"/>
  </w:style>
  <w:style w:type="paragraph" w:customStyle="1" w:styleId="B9AC82C0057643CD890D54FE541167B6">
    <w:name w:val="B9AC82C0057643CD890D54FE541167B6"/>
    <w:rsid w:val="009C4F4F"/>
  </w:style>
  <w:style w:type="character" w:styleId="Zstupntext">
    <w:name w:val="Placeholder Text"/>
    <w:basedOn w:val="Predvolenpsmoodseku"/>
    <w:uiPriority w:val="99"/>
    <w:unhideWhenUsed/>
    <w:rsid w:val="009C4F4F"/>
    <w:rPr>
      <w:color w:val="808080"/>
    </w:rPr>
  </w:style>
  <w:style w:type="paragraph" w:customStyle="1" w:styleId="9E10B08C5FEE40CCBB53C25989468BFE">
    <w:name w:val="9E10B08C5FEE40CCBB53C25989468BFE"/>
    <w:rsid w:val="009C4F4F"/>
  </w:style>
  <w:style w:type="paragraph" w:customStyle="1" w:styleId="9ACF2CB2B9C948F1A0DCC8A4747CE7BB">
    <w:name w:val="9ACF2CB2B9C948F1A0DCC8A4747CE7BB"/>
    <w:rsid w:val="009C4F4F"/>
  </w:style>
  <w:style w:type="paragraph" w:customStyle="1" w:styleId="A7D9754E100940D8881366A8C19A7475">
    <w:name w:val="A7D9754E100940D8881366A8C19A7475"/>
    <w:rPr>
      <w:lang w:val="sk-SK" w:eastAsia="sk-SK"/>
    </w:rPr>
  </w:style>
  <w:style w:type="paragraph" w:customStyle="1" w:styleId="484CDEB3FE6C49C5B9B47BFC2358594D">
    <w:name w:val="484CDEB3FE6C49C5B9B47BFC2358594D"/>
    <w:rPr>
      <w:lang w:val="sk-SK" w:eastAsia="sk-SK"/>
    </w:rPr>
  </w:style>
  <w:style w:type="paragraph" w:customStyle="1" w:styleId="5FC92C9096A241C4AE9C797F1CE3CA5F">
    <w:name w:val="5FC92C9096A241C4AE9C797F1CE3CA5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2E383967-0AD8-4042-BD34-705466C0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837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elektriny alebo odberných jednotiek podľa čl. 152 ods. 16 Nariadenia Európskej Komisie (EÚ) 2017/1485 z 2. augusta 2017, ktorým sa stanovuje usmernenie pre prevádzko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elektriny alebo odberných jednotiek podľa čl. 152 ods. 16 Nariadenia Európskej Komisie (EÚ) 2017/1485 z 2. augusta 2017, ktorým sa stanovuje usmernenie pre prevádzkovanie elektrizačnej sústavy</dc:title>
  <dc:subject>Návrh metodiky podľa čl. 119, ods. 1, písm. r) Nariadenia Komisie (EÚ) 2017/1485</dc:subject>
  <dc:creator>Studie poskytování PpS se zaměřením na SR a ČR</dc:creator>
  <cp:keywords/>
  <dc:description/>
  <cp:lastModifiedBy>Koma Peter</cp:lastModifiedBy>
  <cp:revision>54</cp:revision>
  <cp:lastPrinted>2018-07-24T12:32:00Z</cp:lastPrinted>
  <dcterms:created xsi:type="dcterms:W3CDTF">2018-07-26T08:59:00Z</dcterms:created>
  <dcterms:modified xsi:type="dcterms:W3CDTF">2018-08-07T14:04:00Z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