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574414" w14:paraId="2A42DFFB" w14:textId="77777777" w:rsidTr="00D03274">
        <w:tc>
          <w:tcPr>
            <w:tcW w:w="9380" w:type="dxa"/>
            <w:vAlign w:val="center"/>
          </w:tcPr>
          <w:p w14:paraId="5064133D" w14:textId="21B03E3A" w:rsidR="00D03274" w:rsidRPr="00574414" w:rsidRDefault="00FB4996" w:rsidP="00FB4996">
            <w:pPr>
              <w:pStyle w:val="Bezriadkovania"/>
              <w:jc w:val="center"/>
              <w:rPr>
                <w:rFonts w:cs="Calibri"/>
              </w:rPr>
            </w:pPr>
            <w:bookmarkStart w:id="1" w:name="_Hlk520129189"/>
            <w:r w:rsidRPr="00574414">
              <w:rPr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574414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574414" w:rsidRDefault="00D03274" w:rsidP="00D03274">
            <w:pPr>
              <w:pStyle w:val="Bezriadkovania"/>
              <w:rPr>
                <w:rFonts w:cs="Calibri"/>
              </w:rPr>
            </w:pPr>
          </w:p>
        </w:tc>
      </w:tr>
      <w:tr w:rsidR="00B35FB5" w:rsidRPr="00574414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5192F6DB" w:rsidR="00B35FB5" w:rsidRPr="00574414" w:rsidRDefault="00837C41" w:rsidP="00E9776C">
            <w:pPr>
              <w:pStyle w:val="Bezriadkovania"/>
              <w:jc w:val="center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theme="majorHAnsi"/>
                  <w:b/>
                  <w:bCs/>
                  <w:sz w:val="36"/>
                  <w:szCs w:val="40"/>
                  <w:shd w:val="clear" w:color="auto" w:fill="FFFFFF" w:themeFill="background1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41578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Návrh metodiky p</w:t>
                </w:r>
                <w:r w:rsidR="00941578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odľa čl. 119, ods. 1, písm. c) </w:t>
                </w:r>
                <w:r w:rsidR="00941578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Nariadenia Komisie </w:t>
                </w:r>
                <w:r w:rsidR="00941578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(</w:t>
                </w:r>
                <w:r w:rsidR="00941578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EÚ</w:t>
                </w:r>
                <w:r w:rsidR="00941578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)</w:t>
                </w:r>
                <w:r w:rsidR="00941578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 2017/1485</w:t>
                </w:r>
              </w:sdtContent>
            </w:sdt>
          </w:p>
        </w:tc>
      </w:tr>
      <w:tr w:rsidR="00C517B2" w:rsidRPr="00574414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574414" w:rsidRDefault="00C517B2" w:rsidP="00D44439">
            <w:pPr>
              <w:pStyle w:val="Bezriadkovania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574414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7EB8579C" w:rsidR="00D03274" w:rsidRPr="00574414" w:rsidRDefault="00837C41" w:rsidP="00093D91">
            <w:pPr>
              <w:pStyle w:val="Bezriadkovania"/>
              <w:jc w:val="center"/>
              <w:rPr>
                <w:rFonts w:eastAsiaTheme="majorEastAsia" w:cs="Calibri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eastAsiaTheme="majorEastAsia" w:cs="Calibri"/>
                  <w:sz w:val="32"/>
                  <w:szCs w:val="68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810AE" w:rsidRPr="00F810AE">
                  <w:rPr>
                    <w:rFonts w:eastAsiaTheme="majorEastAsia" w:cs="Calibri"/>
                    <w:sz w:val="32"/>
                    <w:szCs w:val="68"/>
                  </w:rPr>
                  <w:t xml:space="preserve">Podmienky dovolených lineárnych zmien činného výkonu pre blok LFC SEPS podľa čl. 137 ods. 4 nariadenia Európskej komisie </w:t>
                </w:r>
                <w:r w:rsidR="00F810AE">
                  <w:rPr>
                    <w:rFonts w:eastAsiaTheme="majorEastAsia" w:cs="Calibri"/>
                    <w:sz w:val="32"/>
                    <w:szCs w:val="68"/>
                  </w:rPr>
                  <w:t>(</w:t>
                </w:r>
                <w:r w:rsidR="00F810AE" w:rsidRPr="00F810AE">
                  <w:rPr>
                    <w:rFonts w:eastAsiaTheme="majorEastAsia" w:cs="Calibri"/>
                    <w:sz w:val="32"/>
                    <w:szCs w:val="68"/>
                  </w:rPr>
                  <w:t>EÚ</w:t>
                </w:r>
                <w:r w:rsidR="00F810AE">
                  <w:rPr>
                    <w:rFonts w:eastAsiaTheme="majorEastAsia" w:cs="Calibri"/>
                    <w:sz w:val="32"/>
                    <w:szCs w:val="68"/>
                  </w:rPr>
                  <w:t>)</w:t>
                </w:r>
                <w:r w:rsidR="00F810AE" w:rsidRPr="00F810AE">
                  <w:rPr>
                    <w:rFonts w:eastAsiaTheme="majorEastAsia" w:cs="Calibri"/>
                    <w:sz w:val="32"/>
                    <w:szCs w:val="68"/>
                  </w:rPr>
                  <w:t xml:space="preserve"> 2017/1485 z 2. augusta 2017, ktorým sa stanovuje usmernenie pre prevádzkovanie elektrizačnej prenosovej sústavy</w:t>
                </w:r>
              </w:sdtContent>
            </w:sdt>
          </w:p>
        </w:tc>
      </w:tr>
      <w:tr w:rsidR="001628A2" w:rsidRPr="00574414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574414" w:rsidRDefault="001628A2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</w:p>
        </w:tc>
      </w:tr>
      <w:tr w:rsidR="001628A2" w:rsidRPr="00574414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229FC1E8" w:rsidR="001628A2" w:rsidRPr="00574414" w:rsidRDefault="00AB144D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="Calibri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8-0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/>
                  </w:rPr>
                  <w:t>07</w:t>
                </w:r>
                <w:r w:rsidRPr="00A22599">
                  <w:rPr>
                    <w:rFonts w:cs="Calibri"/>
                  </w:rPr>
                  <w:t>.08.2018</w:t>
                </w:r>
              </w:sdtContent>
            </w:sdt>
          </w:p>
        </w:tc>
      </w:tr>
      <w:tr w:rsidR="0032559D" w:rsidRPr="00574414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7202B2C4" w14:textId="77777777" w:rsidR="0032559D" w:rsidRPr="00574414" w:rsidRDefault="0032559D" w:rsidP="001628A2">
            <w:pPr>
              <w:pStyle w:val="Bezriadkovania"/>
              <w:rPr>
                <w:rFonts w:cs="Calibri"/>
                <w:color w:val="455F51" w:themeColor="text2"/>
              </w:rPr>
            </w:pPr>
          </w:p>
        </w:tc>
      </w:tr>
      <w:tr w:rsidR="00ED4222" w:rsidRPr="00574414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A22599" w:rsidRDefault="00D72B49" w:rsidP="00ED4222">
            <w:pPr>
              <w:rPr>
                <w:rFonts w:cs="Arial"/>
                <w:b/>
                <w:color w:val="222222"/>
                <w:sz w:val="18"/>
              </w:rPr>
            </w:pPr>
            <w:r w:rsidRPr="00A22599">
              <w:rPr>
                <w:rFonts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4F9FD1C6" w:rsidR="00ED4222" w:rsidRPr="00574414" w:rsidRDefault="00ED4222" w:rsidP="0028724C">
            <w:pPr>
              <w:pStyle w:val="Bezriadkovania"/>
              <w:rPr>
                <w:rFonts w:cs="Calibri"/>
                <w:color w:val="455F51" w:themeColor="text2"/>
              </w:rPr>
            </w:pPr>
            <w:r w:rsidRPr="00A22599">
              <w:rPr>
                <w:rFonts w:cs="Arial"/>
                <w:color w:val="222222"/>
                <w:sz w:val="18"/>
              </w:rPr>
              <w:t>T</w:t>
            </w:r>
            <w:r w:rsidR="00D72B49" w:rsidRPr="00A22599">
              <w:rPr>
                <w:rFonts w:cs="Arial"/>
                <w:color w:val="222222"/>
                <w:sz w:val="18"/>
              </w:rPr>
              <w:t>ento dokument spoločnosti</w:t>
            </w:r>
            <w:r w:rsidR="00A85A3C" w:rsidRPr="00A22599">
              <w:t xml:space="preserve"> </w:t>
            </w:r>
            <w:r w:rsidR="00A85A3C" w:rsidRPr="00A22599">
              <w:rPr>
                <w:rFonts w:cs="Arial"/>
                <w:color w:val="222222"/>
                <w:sz w:val="18"/>
              </w:rPr>
              <w:t>Slovenská elektrizačná prenosová sústava, a. s.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(ďalej len „SEPS“), ako prevádzkovateľa prenosovej sústavy SR, </w:t>
            </w:r>
            <w:r w:rsidRPr="00A22599">
              <w:rPr>
                <w:rFonts w:cs="Arial"/>
                <w:color w:val="222222"/>
                <w:sz w:val="18"/>
              </w:rPr>
              <w:t xml:space="preserve">predstavuje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pracovný </w:t>
            </w:r>
            <w:r w:rsidRPr="00A22599">
              <w:rPr>
                <w:rFonts w:cs="Arial"/>
                <w:color w:val="222222"/>
                <w:sz w:val="18"/>
              </w:rPr>
              <w:t xml:space="preserve">návrh </w:t>
            </w:r>
            <w:r w:rsidR="00D72B49" w:rsidRPr="00A22599">
              <w:rPr>
                <w:rFonts w:cs="Arial"/>
                <w:color w:val="222222"/>
                <w:sz w:val="18"/>
              </w:rPr>
              <w:t>na účely verejnej konzultácie</w:t>
            </w:r>
            <w:r w:rsidRPr="00A22599">
              <w:rPr>
                <w:rFonts w:cs="Arial"/>
                <w:color w:val="222222"/>
                <w:sz w:val="18"/>
              </w:rPr>
              <w:t xml:space="preserve">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podľa Nariadenia Komisie </w:t>
            </w:r>
            <w:r w:rsidR="00A22599">
              <w:rPr>
                <w:rFonts w:cs="Arial"/>
                <w:color w:val="222222"/>
                <w:sz w:val="18"/>
              </w:rPr>
              <w:t>(</w:t>
            </w:r>
            <w:r w:rsidR="00D72B49" w:rsidRPr="00A22599">
              <w:rPr>
                <w:rFonts w:cs="Arial"/>
                <w:color w:val="222222"/>
                <w:sz w:val="18"/>
              </w:rPr>
              <w:t>EÚ</w:t>
            </w:r>
            <w:r w:rsidR="00A22599">
              <w:rPr>
                <w:rFonts w:cs="Arial"/>
                <w:color w:val="222222"/>
                <w:sz w:val="18"/>
              </w:rPr>
              <w:t>)</w:t>
            </w:r>
            <w:r w:rsidR="00DD34FB" w:rsidRPr="00A22599">
              <w:rPr>
                <w:rFonts w:cs="Arial"/>
                <w:color w:val="222222"/>
                <w:sz w:val="18"/>
              </w:rPr>
              <w:t xml:space="preserve"> 2017/1485</w:t>
            </w:r>
            <w:r w:rsidR="0028724C" w:rsidRPr="00A22599">
              <w:rPr>
                <w:rFonts w:cs="Arial"/>
                <w:color w:val="222222"/>
                <w:sz w:val="18"/>
              </w:rPr>
              <w:t xml:space="preserve">, ktorým sa stanovuje usmernenie pre prevádzkovanie elektrizačnej prenosovej sústavy </w:t>
            </w:r>
            <w:r w:rsidRPr="00A22599">
              <w:rPr>
                <w:rFonts w:cs="Arial"/>
                <w:color w:val="222222"/>
                <w:sz w:val="18"/>
              </w:rPr>
              <w:t xml:space="preserve">a v žiadnom prípade nepredstavuje </w:t>
            </w:r>
            <w:r w:rsidR="00D72B49" w:rsidRPr="00A22599">
              <w:rPr>
                <w:rFonts w:cs="Arial"/>
                <w:color w:val="222222"/>
                <w:sz w:val="18"/>
              </w:rPr>
              <w:t>finálnu, záväznú alebo nemennú</w:t>
            </w:r>
            <w:r w:rsidRPr="00A22599">
              <w:rPr>
                <w:rFonts w:cs="Arial"/>
                <w:color w:val="222222"/>
                <w:sz w:val="18"/>
              </w:rPr>
              <w:t xml:space="preserve"> pozíciu.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SEPS si vyhradzuje právo, najmä nie však výlučne, upraviť tento dokument na základe výsledkov verejnej konzultácie a zároveň upozorňuje, že finálny návrh je predmetom schválenia príslušného národného regulačného úradu.</w:t>
            </w:r>
            <w:r w:rsidR="00D72B49">
              <w:rPr>
                <w:rFonts w:ascii="Arial" w:hAnsi="Arial" w:cs="Arial"/>
                <w:color w:val="222222"/>
                <w:sz w:val="18"/>
              </w:rPr>
              <w:t xml:space="preserve"> </w:t>
            </w:r>
          </w:p>
        </w:tc>
      </w:tr>
    </w:tbl>
    <w:p w14:paraId="6F118658" w14:textId="1741A8CF" w:rsidR="00463FEC" w:rsidRDefault="00D03274" w:rsidP="00F51067">
      <w:pPr>
        <w:spacing w:before="0" w:after="200"/>
        <w:jc w:val="left"/>
      </w:pPr>
      <w:bookmarkStart w:id="2" w:name="_Toc513034009"/>
      <w:bookmarkStart w:id="3" w:name="_Ref517949672"/>
      <w:bookmarkStart w:id="4" w:name="_Toc517951147"/>
      <w:bookmarkEnd w:id="1"/>
      <w:r w:rsidRPr="00574414">
        <w:rPr>
          <w:rFonts w:ascii="Trebuchet MS" w:eastAsia="Times New Roman" w:hAnsi="Trebuchet MS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2"/>
      <w:bookmarkEnd w:id="3"/>
      <w:bookmarkEnd w:id="4"/>
    </w:p>
    <w:p w14:paraId="7B685C7D" w14:textId="6CCC11A3" w:rsidR="00CB566B" w:rsidRPr="00F51067" w:rsidRDefault="00F51067" w:rsidP="004C38E3">
      <w:pPr>
        <w:pStyle w:val="Nadpis1"/>
      </w:pPr>
      <w:r w:rsidRPr="00F51067">
        <w:lastRenderedPageBreak/>
        <w:t>Úvod</w:t>
      </w:r>
    </w:p>
    <w:p w14:paraId="322BA123" w14:textId="4CAE1821" w:rsidR="006D13BB" w:rsidRPr="00F810AE" w:rsidRDefault="0028724C" w:rsidP="00F51067">
      <w:r w:rsidRPr="00F810AE">
        <w:t>Tento dokument predstavuje návrh metodiky</w:t>
      </w:r>
      <w:r w:rsidR="009E239C">
        <w:t xml:space="preserve"> (ďalej len „Návrh“) </w:t>
      </w:r>
      <w:r w:rsidRPr="00F810AE">
        <w:t>vypracovaný s</w:t>
      </w:r>
      <w:r w:rsidR="00F51067" w:rsidRPr="00F810AE">
        <w:t>polo</w:t>
      </w:r>
      <w:r w:rsidR="00F51067" w:rsidRPr="00F810AE">
        <w:rPr>
          <w:rFonts w:hint="eastAsia"/>
        </w:rPr>
        <w:t>č</w:t>
      </w:r>
      <w:r w:rsidR="00F51067" w:rsidRPr="00F810AE">
        <w:t>nos</w:t>
      </w:r>
      <w:r w:rsidRPr="00F810AE">
        <w:t>ťou</w:t>
      </w:r>
      <w:r w:rsidR="00F51067" w:rsidRPr="00F810AE">
        <w:t xml:space="preserve"> Slovensk</w:t>
      </w:r>
      <w:r w:rsidR="00F51067" w:rsidRPr="00F810AE">
        <w:rPr>
          <w:rFonts w:hint="eastAsia"/>
        </w:rPr>
        <w:t>á</w:t>
      </w:r>
      <w:r w:rsidR="00F51067" w:rsidRPr="00F810AE">
        <w:t xml:space="preserve"> elektriza</w:t>
      </w:r>
      <w:r w:rsidR="00F51067" w:rsidRPr="00F810AE">
        <w:rPr>
          <w:rFonts w:hint="eastAsia"/>
        </w:rPr>
        <w:t>č</w:t>
      </w:r>
      <w:r w:rsidR="00F51067" w:rsidRPr="00F810AE">
        <w:t>n</w:t>
      </w:r>
      <w:r w:rsidR="00F51067" w:rsidRPr="00F810AE">
        <w:rPr>
          <w:rFonts w:hint="eastAsia"/>
        </w:rPr>
        <w:t>á</w:t>
      </w:r>
      <w:r w:rsidR="00F51067" w:rsidRPr="00F810AE">
        <w:t xml:space="preserve"> prenosov</w:t>
      </w:r>
      <w:r w:rsidR="00F51067" w:rsidRPr="00F810AE">
        <w:rPr>
          <w:rFonts w:hint="eastAsia"/>
        </w:rPr>
        <w:t>á</w:t>
      </w:r>
      <w:r w:rsidR="00F51067" w:rsidRPr="00F810AE">
        <w:t xml:space="preserve"> s</w:t>
      </w:r>
      <w:r w:rsidR="00F51067" w:rsidRPr="00F810AE">
        <w:rPr>
          <w:rFonts w:hint="eastAsia"/>
        </w:rPr>
        <w:t>ú</w:t>
      </w:r>
      <w:r w:rsidRPr="00F810AE">
        <w:t>stava, a. s.</w:t>
      </w:r>
      <w:r w:rsidR="00F51067" w:rsidRPr="00F810AE">
        <w:t xml:space="preserve"> (ďalej</w:t>
      </w:r>
      <w:r w:rsidRPr="00F810AE">
        <w:t xml:space="preserve"> len</w:t>
      </w:r>
      <w:r w:rsidR="00F51067" w:rsidRPr="00F810AE">
        <w:t xml:space="preserve"> „SEPS“)</w:t>
      </w:r>
      <w:r w:rsidRPr="00F810AE">
        <w:t xml:space="preserve"> v súlade s</w:t>
      </w:r>
      <w:r w:rsidR="00B2046E" w:rsidRPr="00F810AE">
        <w:t> </w:t>
      </w:r>
      <w:r w:rsidRPr="00F810AE">
        <w:t>článkom</w:t>
      </w:r>
      <w:r w:rsidR="00B2046E" w:rsidRPr="00F810AE">
        <w:t xml:space="preserve"> 119 a článkom 1</w:t>
      </w:r>
      <w:r w:rsidR="00F810AE" w:rsidRPr="00F810AE">
        <w:t>37</w:t>
      </w:r>
      <w:r w:rsidRPr="00F810AE">
        <w:t xml:space="preserve"> Nariadenia Komisie </w:t>
      </w:r>
      <w:r w:rsidR="00A22599" w:rsidRPr="00F810AE">
        <w:t>(</w:t>
      </w:r>
      <w:r w:rsidRPr="00F810AE">
        <w:t>EÚ</w:t>
      </w:r>
      <w:r w:rsidR="00A22599" w:rsidRPr="00F810AE">
        <w:t>)</w:t>
      </w:r>
      <w:r w:rsidRPr="00F810AE">
        <w:t xml:space="preserve"> 2017/1485, ktorým sa stanovuje usmernenie pre prevádzkovanie elektrizačnej prenosovej sústavy (ďalej len „SOGL“)</w:t>
      </w:r>
      <w:r w:rsidR="00C221CA">
        <w:t xml:space="preserve">, </w:t>
      </w:r>
      <w:r w:rsidR="00F51067" w:rsidRPr="00F810AE">
        <w:t xml:space="preserve"> berúc do úvahy nasledujúce:</w:t>
      </w:r>
    </w:p>
    <w:p w14:paraId="5D9F8900" w14:textId="41490B7F" w:rsidR="009860BC" w:rsidRPr="00D84CB2" w:rsidRDefault="009860BC" w:rsidP="00D84CB2">
      <w:pPr>
        <w:pStyle w:val="Odsekzoznamu"/>
      </w:pPr>
      <w:r w:rsidRPr="00D84CB2">
        <w:t xml:space="preserve">Nakoľko je spoločnosť SEPS jediným prevádzkovateľom prenosovej sústavy </w:t>
      </w:r>
      <w:r w:rsidR="00701887" w:rsidRPr="00D84CB2">
        <w:t>Slovenskej republiky</w:t>
      </w:r>
      <w:r w:rsidRPr="00D84CB2">
        <w:t xml:space="preserve"> (ďalej len „PPS“) v rámci príslušného LFC bloku</w:t>
      </w:r>
      <w:r w:rsidR="00E9776C">
        <w:t>,</w:t>
      </w:r>
      <w:r w:rsidRPr="00D84CB2">
        <w:t xml:space="preserve"> je tento </w:t>
      </w:r>
      <w:r w:rsidR="00A95081" w:rsidRPr="00D84CB2">
        <w:t>N</w:t>
      </w:r>
      <w:r w:rsidRPr="00D84CB2">
        <w:t xml:space="preserve">ávrh vydaný vo forme prevádzkovej metodiky bloku LFC v súlade s článkom </w:t>
      </w:r>
      <w:r w:rsidR="00E26187" w:rsidRPr="00D84CB2">
        <w:t xml:space="preserve">3 </w:t>
      </w:r>
      <w:r w:rsidRPr="00D84CB2">
        <w:t xml:space="preserve">ods. 136 </w:t>
      </w:r>
      <w:r w:rsidR="00770181">
        <w:t>N</w:t>
      </w:r>
      <w:r w:rsidRPr="00D84CB2">
        <w:t xml:space="preserve">ariadenia SOGL. </w:t>
      </w:r>
    </w:p>
    <w:p w14:paraId="1B550F54" w14:textId="2578A28F" w:rsidR="00482469" w:rsidRPr="00D84CB2" w:rsidRDefault="00A95081" w:rsidP="00D84CB2">
      <w:pPr>
        <w:pStyle w:val="Odsekzoznamu"/>
      </w:pPr>
      <w:r w:rsidRPr="00D84CB2">
        <w:t>Tento N</w:t>
      </w:r>
      <w:r w:rsidR="00470272" w:rsidRPr="00D84CB2">
        <w:t xml:space="preserve">ávrh </w:t>
      </w:r>
      <w:r w:rsidR="00482469" w:rsidRPr="00D84CB2">
        <w:t xml:space="preserve">berie do úvahy základné princípy a ciele stanovené </w:t>
      </w:r>
      <w:r w:rsidR="00EA0985" w:rsidRPr="00F810AE">
        <w:t xml:space="preserve">článkom 4 </w:t>
      </w:r>
      <w:r w:rsidR="00770181">
        <w:t>N</w:t>
      </w:r>
      <w:r w:rsidR="00EA0985" w:rsidRPr="00F810AE">
        <w:t>ariadenia SOGL, a to najmä cieľ zachovať úroveň kvality frekvencie v synchrónnej oblasti Kontinentálna Európa</w:t>
      </w:r>
      <w:r w:rsidR="005C2A59">
        <w:rPr>
          <w:rStyle w:val="Odkaznapoznmkupodiarou"/>
        </w:rPr>
        <w:footnoteReference w:id="2"/>
      </w:r>
      <w:r w:rsidR="00EA0985" w:rsidRPr="00F810AE">
        <w:t>, ktorej súčasťou je LFC blok SEPS.</w:t>
      </w:r>
      <w:r w:rsidR="00482469" w:rsidRPr="00D84CB2">
        <w:t xml:space="preserve"> </w:t>
      </w:r>
      <w:r w:rsidR="00EA0985" w:rsidRPr="00D84CB2">
        <w:t>Tým </w:t>
      </w:r>
      <w:r w:rsidR="0005760C" w:rsidRPr="00D84CB2">
        <w:t xml:space="preserve">zároveň prispieva </w:t>
      </w:r>
      <w:r w:rsidR="00EA0985" w:rsidRPr="00D84CB2">
        <w:t xml:space="preserve">k </w:t>
      </w:r>
      <w:r w:rsidR="0005760C" w:rsidRPr="00D84CB2">
        <w:t xml:space="preserve">zachovaniu stabilnej a bezpečnej prevádzky prenosovej sústavy. </w:t>
      </w:r>
    </w:p>
    <w:p w14:paraId="289344F9" w14:textId="30DA86D6" w:rsidR="00964A4A" w:rsidRPr="00D84CB2" w:rsidRDefault="009860BC" w:rsidP="00D84CB2">
      <w:pPr>
        <w:pStyle w:val="Odsekzoznamu"/>
      </w:pPr>
      <w:r w:rsidRPr="00D84CB2">
        <w:t>Nariadenie SOGL v čl</w:t>
      </w:r>
      <w:r w:rsidR="00EE4FC9" w:rsidRPr="00D84CB2">
        <w:t>.</w:t>
      </w:r>
      <w:r w:rsidR="00F810AE" w:rsidRPr="00D84CB2">
        <w:t xml:space="preserve"> 119 ods. 1, písm. c</w:t>
      </w:r>
      <w:r w:rsidR="005C2A59">
        <w:t>)</w:t>
      </w:r>
      <w:r w:rsidR="00482469" w:rsidRPr="00D84CB2">
        <w:t xml:space="preserve"> </w:t>
      </w:r>
      <w:r w:rsidRPr="00D84CB2">
        <w:t xml:space="preserve">stanovuje </w:t>
      </w:r>
      <w:r w:rsidR="00E26187" w:rsidRPr="00D84CB2">
        <w:t>povinnosti pre</w:t>
      </w:r>
      <w:r w:rsidR="00470272" w:rsidRPr="00D84CB2">
        <w:t xml:space="preserve"> </w:t>
      </w:r>
      <w:r w:rsidR="00B401E0" w:rsidRPr="00F810AE">
        <w:t>prev</w:t>
      </w:r>
      <w:r w:rsidR="00B401E0" w:rsidRPr="00F810AE">
        <w:rPr>
          <w:rFonts w:hint="eastAsia"/>
        </w:rPr>
        <w:t>á</w:t>
      </w:r>
      <w:r w:rsidR="00B401E0" w:rsidRPr="00F810AE">
        <w:t>dzkovate</w:t>
      </w:r>
      <w:r w:rsidR="00B401E0" w:rsidRPr="00F810AE">
        <w:rPr>
          <w:rFonts w:hint="eastAsia"/>
        </w:rPr>
        <w:t>ľ</w:t>
      </w:r>
      <w:r w:rsidR="00764107" w:rsidRPr="00F810AE">
        <w:t>a</w:t>
      </w:r>
      <w:r w:rsidR="00B401E0" w:rsidRPr="00F810AE">
        <w:t xml:space="preserve"> prenosovej s</w:t>
      </w:r>
      <w:r w:rsidR="00B401E0" w:rsidRPr="00F810AE">
        <w:rPr>
          <w:rFonts w:hint="eastAsia"/>
        </w:rPr>
        <w:t>ú</w:t>
      </w:r>
      <w:r w:rsidR="00B401E0" w:rsidRPr="00F810AE">
        <w:t>stavy</w:t>
      </w:r>
      <w:r w:rsidR="003F6177" w:rsidRPr="00F810AE">
        <w:t xml:space="preserve"> </w:t>
      </w:r>
      <w:r w:rsidR="003F6177" w:rsidRPr="00D84CB2">
        <w:t>do 12 mesiacov po nadobudnutí jeho účinnosti</w:t>
      </w:r>
      <w:r w:rsidR="00764107" w:rsidRPr="00F810AE">
        <w:t xml:space="preserve"> </w:t>
      </w:r>
      <w:r w:rsidR="00FC7F3D" w:rsidRPr="00D84CB2">
        <w:t xml:space="preserve">vypracovať </w:t>
      </w:r>
      <w:r w:rsidRPr="00D84CB2">
        <w:t xml:space="preserve">návrh </w:t>
      </w:r>
      <w:r w:rsidRPr="00D84CB2">
        <w:rPr>
          <w:i/>
        </w:rPr>
        <w:t>„</w:t>
      </w:r>
      <w:r w:rsidR="00F810AE" w:rsidRPr="00D84CB2">
        <w:rPr>
          <w:i/>
        </w:rPr>
        <w:t xml:space="preserve">obmedzení lineárnych zmien činného výkonu na výstupe v súlade s článkom 137 ods. 3 a 4 </w:t>
      </w:r>
      <w:r w:rsidR="00770181">
        <w:rPr>
          <w:i/>
        </w:rPr>
        <w:t>N</w:t>
      </w:r>
      <w:r w:rsidR="00F810AE" w:rsidRPr="00D84CB2">
        <w:rPr>
          <w:i/>
        </w:rPr>
        <w:t>ariadenia SOGL</w:t>
      </w:r>
      <w:r w:rsidR="00FC7F3D" w:rsidRPr="00D84CB2">
        <w:rPr>
          <w:i/>
        </w:rPr>
        <w:t>“</w:t>
      </w:r>
      <w:r w:rsidR="00697165" w:rsidRPr="00D84CB2">
        <w:t>.</w:t>
      </w:r>
    </w:p>
    <w:p w14:paraId="75BF7B48" w14:textId="124D840A" w:rsidR="00061953" w:rsidRPr="005C2A59" w:rsidRDefault="00127823" w:rsidP="00D84CB2">
      <w:pPr>
        <w:pStyle w:val="Odsekzoznamu"/>
      </w:pPr>
      <w:r w:rsidRPr="005C2A59">
        <w:t>Podľa článku 6 ods. 3 písm. e</w:t>
      </w:r>
      <w:r w:rsidR="00A47245" w:rsidRPr="005C2A59">
        <w:t>)</w:t>
      </w:r>
      <w:r w:rsidRPr="005C2A59">
        <w:t xml:space="preserve"> </w:t>
      </w:r>
      <w:r w:rsidR="00A47245" w:rsidRPr="005C2A59">
        <w:t>Nariadenia SOGL</w:t>
      </w:r>
      <w:r w:rsidRPr="005C2A59">
        <w:t xml:space="preserve"> sú „</w:t>
      </w:r>
      <w:r w:rsidR="006905D7" w:rsidRPr="005C2A59">
        <w:rPr>
          <w:i/>
        </w:rPr>
        <w:t>metodiky a podmienky uveden</w:t>
      </w:r>
      <w:r w:rsidR="006905D7" w:rsidRPr="005C2A59">
        <w:rPr>
          <w:rFonts w:hint="eastAsia"/>
          <w:i/>
        </w:rPr>
        <w:t>é</w:t>
      </w:r>
      <w:r w:rsidR="006905D7" w:rsidRPr="005C2A59">
        <w:rPr>
          <w:i/>
        </w:rPr>
        <w:t xml:space="preserve"> v prev</w:t>
      </w:r>
      <w:r w:rsidR="006905D7" w:rsidRPr="005C2A59">
        <w:rPr>
          <w:rFonts w:hint="eastAsia"/>
          <w:i/>
        </w:rPr>
        <w:t>á</w:t>
      </w:r>
      <w:r w:rsidR="006905D7" w:rsidRPr="005C2A59">
        <w:rPr>
          <w:i/>
        </w:rPr>
        <w:t>dzkov</w:t>
      </w:r>
      <w:r w:rsidR="006905D7" w:rsidRPr="005C2A59">
        <w:rPr>
          <w:rFonts w:hint="eastAsia"/>
          <w:i/>
        </w:rPr>
        <w:t>ý</w:t>
      </w:r>
      <w:r w:rsidR="006905D7" w:rsidRPr="005C2A59">
        <w:rPr>
          <w:i/>
        </w:rPr>
        <w:t>ch dohod</w:t>
      </w:r>
      <w:r w:rsidR="006905D7" w:rsidRPr="005C2A59">
        <w:rPr>
          <w:rFonts w:hint="eastAsia"/>
          <w:i/>
        </w:rPr>
        <w:t>á</w:t>
      </w:r>
      <w:r w:rsidR="006905D7" w:rsidRPr="005C2A59">
        <w:rPr>
          <w:i/>
        </w:rPr>
        <w:t>ch pre bloky LFC pod</w:t>
      </w:r>
      <w:r w:rsidR="006905D7" w:rsidRPr="005C2A59">
        <w:rPr>
          <w:rFonts w:hint="eastAsia"/>
          <w:i/>
        </w:rPr>
        <w:t>ľ</w:t>
      </w:r>
      <w:r w:rsidR="006905D7" w:rsidRPr="005C2A59">
        <w:rPr>
          <w:i/>
        </w:rPr>
        <w:t xml:space="preserve">a </w:t>
      </w:r>
      <w:r w:rsidR="006905D7" w:rsidRPr="005C2A59">
        <w:rPr>
          <w:rFonts w:hint="eastAsia"/>
          <w:i/>
        </w:rPr>
        <w:t>č</w:t>
      </w:r>
      <w:r w:rsidR="006905D7" w:rsidRPr="005C2A59">
        <w:rPr>
          <w:i/>
        </w:rPr>
        <w:t>l</w:t>
      </w:r>
      <w:r w:rsidR="006905D7" w:rsidRPr="005C2A59">
        <w:rPr>
          <w:rFonts w:hint="eastAsia"/>
          <w:i/>
        </w:rPr>
        <w:t>á</w:t>
      </w:r>
      <w:r w:rsidR="006905D7" w:rsidRPr="005C2A59">
        <w:rPr>
          <w:i/>
        </w:rPr>
        <w:t>nku 119</w:t>
      </w:r>
      <w:r w:rsidR="00F810AE" w:rsidRPr="005C2A59">
        <w:rPr>
          <w:i/>
        </w:rPr>
        <w:t xml:space="preserve"> </w:t>
      </w:r>
      <w:r w:rsidR="00770181" w:rsidRPr="005C2A59">
        <w:rPr>
          <w:i/>
        </w:rPr>
        <w:t>N</w:t>
      </w:r>
      <w:r w:rsidR="00F810AE" w:rsidRPr="005C2A59">
        <w:rPr>
          <w:i/>
        </w:rPr>
        <w:t>ariadenia SOGL</w:t>
      </w:r>
      <w:r w:rsidR="006905D7" w:rsidRPr="005C2A59">
        <w:rPr>
          <w:i/>
        </w:rPr>
        <w:t>, ktor</w:t>
      </w:r>
      <w:r w:rsidR="006905D7" w:rsidRPr="005C2A59">
        <w:rPr>
          <w:rFonts w:hint="eastAsia"/>
          <w:i/>
        </w:rPr>
        <w:t>é</w:t>
      </w:r>
      <w:r w:rsidR="006905D7" w:rsidRPr="005C2A59">
        <w:rPr>
          <w:i/>
        </w:rPr>
        <w:t xml:space="preserve"> sa t</w:t>
      </w:r>
      <w:r w:rsidR="006905D7" w:rsidRPr="005C2A59">
        <w:rPr>
          <w:rFonts w:hint="eastAsia"/>
          <w:i/>
        </w:rPr>
        <w:t>ý</w:t>
      </w:r>
      <w:r w:rsidR="006905D7" w:rsidRPr="005C2A59">
        <w:rPr>
          <w:i/>
        </w:rPr>
        <w:t>kaj</w:t>
      </w:r>
      <w:r w:rsidR="006905D7" w:rsidRPr="005C2A59">
        <w:rPr>
          <w:rFonts w:hint="eastAsia"/>
          <w:i/>
        </w:rPr>
        <w:t>ú</w:t>
      </w:r>
      <w:r w:rsidR="006905D7" w:rsidRPr="005C2A59">
        <w:rPr>
          <w:i/>
        </w:rPr>
        <w:t>:</w:t>
      </w:r>
    </w:p>
    <w:p w14:paraId="0EFEA5E6" w14:textId="07C39249" w:rsidR="00061953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obmedzen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line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 xml:space="preserve">rnych zmien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inn</w:t>
      </w:r>
      <w:r w:rsidRPr="00C221CA">
        <w:rPr>
          <w:rFonts w:eastAsia="Times New Roman" w:cs="Calibri" w:hint="eastAsia"/>
          <w:i/>
          <w:szCs w:val="22"/>
          <w:lang w:bidi="ar-SA"/>
        </w:rPr>
        <w:t>é</w:t>
      </w:r>
      <w:r w:rsidRPr="00C221CA">
        <w:rPr>
          <w:rFonts w:eastAsia="Times New Roman" w:cs="Calibri"/>
          <w:i/>
          <w:szCs w:val="22"/>
          <w:lang w:bidi="ar-SA"/>
        </w:rPr>
        <w:t>ho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konu na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stupe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137 ods. 3 a 4;</w:t>
      </w:r>
    </w:p>
    <w:p w14:paraId="6D94F9CC" w14:textId="035377A7" w:rsidR="00061953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koordina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opatren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zameran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na zn</w:t>
      </w:r>
      <w:r w:rsidRPr="00C221CA">
        <w:rPr>
          <w:rFonts w:eastAsia="Times New Roman" w:cs="Calibri" w:hint="eastAsia"/>
          <w:i/>
          <w:szCs w:val="22"/>
          <w:lang w:bidi="ar-SA"/>
        </w:rPr>
        <w:t>íž</w:t>
      </w:r>
      <w:r w:rsidRPr="00C221CA">
        <w:rPr>
          <w:rFonts w:eastAsia="Times New Roman" w:cs="Calibri"/>
          <w:i/>
          <w:szCs w:val="22"/>
          <w:lang w:bidi="ar-SA"/>
        </w:rPr>
        <w:t xml:space="preserve">enie FRCE v zmysle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nku 152 ods. 14;</w:t>
      </w:r>
    </w:p>
    <w:p w14:paraId="3E16A5AC" w14:textId="72A4FE1E" w:rsidR="00C57B0E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opatren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na zn</w:t>
      </w:r>
      <w:r w:rsidRPr="00C221CA">
        <w:rPr>
          <w:rFonts w:eastAsia="Times New Roman" w:cs="Calibri" w:hint="eastAsia"/>
          <w:i/>
          <w:szCs w:val="22"/>
          <w:lang w:bidi="ar-SA"/>
        </w:rPr>
        <w:t>íž</w:t>
      </w:r>
      <w:r w:rsidRPr="00C221CA">
        <w:rPr>
          <w:rFonts w:eastAsia="Times New Roman" w:cs="Calibri"/>
          <w:i/>
          <w:szCs w:val="22"/>
          <w:lang w:bidi="ar-SA"/>
        </w:rPr>
        <w:t>enie FRCE vy</w:t>
      </w:r>
      <w:r w:rsidRPr="00C221CA">
        <w:rPr>
          <w:rFonts w:eastAsia="Times New Roman" w:cs="Calibri" w:hint="eastAsia"/>
          <w:i/>
          <w:szCs w:val="22"/>
          <w:lang w:bidi="ar-SA"/>
        </w:rPr>
        <w:t>ž</w:t>
      </w:r>
      <w:r w:rsidRPr="00C221CA">
        <w:rPr>
          <w:rFonts w:eastAsia="Times New Roman" w:cs="Calibri"/>
          <w:i/>
          <w:szCs w:val="22"/>
          <w:lang w:bidi="ar-SA"/>
        </w:rPr>
        <w:t>adovan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>m zmien vo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 xml:space="preserve">robe alebo spotrebe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inn</w:t>
      </w:r>
      <w:r w:rsidRPr="00C221CA">
        <w:rPr>
          <w:rFonts w:eastAsia="Times New Roman" w:cs="Calibri" w:hint="eastAsia"/>
          <w:i/>
          <w:szCs w:val="22"/>
          <w:lang w:bidi="ar-SA"/>
        </w:rPr>
        <w:t>é</w:t>
      </w:r>
      <w:r w:rsidRPr="00C221CA">
        <w:rPr>
          <w:rFonts w:eastAsia="Times New Roman" w:cs="Calibri"/>
          <w:i/>
          <w:szCs w:val="22"/>
          <w:lang w:bidi="ar-SA"/>
        </w:rPr>
        <w:t>ho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konu jednotiek na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robu elektrickej energie alebo odbern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jednotiek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152 ods. 16;</w:t>
      </w:r>
    </w:p>
    <w:p w14:paraId="7989BD22" w14:textId="06D57A7E" w:rsidR="00470272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pravidiel dimenzovania FRR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157 ods. 1;</w:t>
      </w:r>
      <w:r w:rsidR="0005760C" w:rsidRPr="00C221CA">
        <w:rPr>
          <w:rFonts w:eastAsia="Times New Roman" w:cs="Calibri"/>
          <w:i/>
          <w:szCs w:val="22"/>
          <w:lang w:bidi="ar-SA"/>
        </w:rPr>
        <w:t>“</w:t>
      </w:r>
    </w:p>
    <w:p w14:paraId="203A7367" w14:textId="77777777" w:rsidR="003D2AAE" w:rsidRDefault="003D2AAE" w:rsidP="00D84CB2">
      <w:pPr>
        <w:pStyle w:val="Odsekzoznamu"/>
        <w:numPr>
          <w:ilvl w:val="0"/>
          <w:numId w:val="0"/>
        </w:numPr>
        <w:ind w:left="360"/>
      </w:pPr>
    </w:p>
    <w:p w14:paraId="393C5A10" w14:textId="433DB67D" w:rsidR="00127823" w:rsidRPr="00D84CB2" w:rsidRDefault="00127823" w:rsidP="00D84CB2">
      <w:pPr>
        <w:pStyle w:val="Odsekzoznamu"/>
        <w:numPr>
          <w:ilvl w:val="0"/>
          <w:numId w:val="0"/>
        </w:numPr>
        <w:ind w:left="360"/>
      </w:pPr>
      <w:r w:rsidRPr="00D84CB2">
        <w:t xml:space="preserve">predmetom schválenia všetkými regulačnými orgánmi dotknutého regiónu. Nakoľko je SEPS jediným prevádzkovateľom LFC bloku </w:t>
      </w:r>
      <w:r w:rsidR="001A254F" w:rsidRPr="00D84CB2">
        <w:t xml:space="preserve">na území Slovenskej republiky, </w:t>
      </w:r>
      <w:r w:rsidR="00C57B0E" w:rsidRPr="00D84CB2">
        <w:t xml:space="preserve">je </w:t>
      </w:r>
      <w:r w:rsidR="00A95081" w:rsidRPr="00D84CB2">
        <w:t>N</w:t>
      </w:r>
      <w:r w:rsidRPr="00D84CB2">
        <w:t xml:space="preserve">ávrh </w:t>
      </w:r>
      <w:r w:rsidR="00E9776C">
        <w:t xml:space="preserve">vo forme metodiky </w:t>
      </w:r>
      <w:r w:rsidRPr="00D84CB2">
        <w:t xml:space="preserve">prekladaný na schválenie </w:t>
      </w:r>
      <w:r w:rsidR="005F6D6B" w:rsidRPr="00D84CB2">
        <w:t>Úradu pre reguláciu sieťových odvetví</w:t>
      </w:r>
      <w:r w:rsidR="0076194E" w:rsidRPr="00D84CB2">
        <w:t xml:space="preserve"> (ďalej len „ÚRSO“)</w:t>
      </w:r>
      <w:r w:rsidR="005F6D6B" w:rsidRPr="00D84CB2">
        <w:t xml:space="preserve">. </w:t>
      </w:r>
    </w:p>
    <w:p w14:paraId="0E335CD3" w14:textId="5A597CA0" w:rsidR="000B1BAD" w:rsidRDefault="00CF6320" w:rsidP="004C38E3">
      <w:pPr>
        <w:pStyle w:val="Nadpis1"/>
      </w:pPr>
      <w:r>
        <w:lastRenderedPageBreak/>
        <w:t>Č</w:t>
      </w:r>
      <w:r w:rsidR="006D13BB">
        <w:t>lánok 1 -</w:t>
      </w:r>
      <w:r>
        <w:t xml:space="preserve"> </w:t>
      </w:r>
      <w:r w:rsidRPr="00CF6320">
        <w:t>Predmet a rozsah pôsobnosti</w:t>
      </w:r>
    </w:p>
    <w:p w14:paraId="1BCA48D5" w14:textId="005DF682" w:rsidR="00CF6320" w:rsidRDefault="00EA6DA3" w:rsidP="00D84CB2">
      <w:pPr>
        <w:pStyle w:val="Odsekzoznamu"/>
        <w:numPr>
          <w:ilvl w:val="0"/>
          <w:numId w:val="28"/>
        </w:numPr>
      </w:pPr>
      <w:r>
        <w:t xml:space="preserve">Predmetom </w:t>
      </w:r>
      <w:r w:rsidR="00A95081">
        <w:t>N</w:t>
      </w:r>
      <w:r w:rsidR="007D6ED7">
        <w:t>ávrh</w:t>
      </w:r>
      <w:r w:rsidR="00084A14">
        <w:t>u sú</w:t>
      </w:r>
      <w:r w:rsidR="007D6ED7">
        <w:t xml:space="preserve"> </w:t>
      </w:r>
      <w:r w:rsidR="00111090">
        <w:t xml:space="preserve">obmedzenia lineárnych zmien činného výkonu na výstupe v súlade s článkom 137 ods. 4 </w:t>
      </w:r>
      <w:r w:rsidR="00E9776C">
        <w:t xml:space="preserve">Nariadenia </w:t>
      </w:r>
      <w:r w:rsidR="00111090">
        <w:t>SOGL</w:t>
      </w:r>
      <w:r w:rsidR="006D13BB">
        <w:t xml:space="preserve"> určen</w:t>
      </w:r>
      <w:r w:rsidR="00111090">
        <w:t>é</w:t>
      </w:r>
      <w:r w:rsidR="006D13BB">
        <w:t xml:space="preserve"> na verejnú konzultáciu</w:t>
      </w:r>
      <w:r w:rsidR="00C221CA">
        <w:t>.</w:t>
      </w:r>
    </w:p>
    <w:p w14:paraId="3B11E13C" w14:textId="77777777" w:rsidR="00111090" w:rsidRDefault="00111090" w:rsidP="00D84CB2">
      <w:pPr>
        <w:pStyle w:val="Odsekzoznamu"/>
      </w:pPr>
      <w:r>
        <w:t>Lineárne zmeny činného výkonu na výstupe majú priamy vplyv na plnenie cieľových parametrov FRCE bloku LFC a zmiernenie deterministických odchýlok frekvencie. Deterministické odchýlky frekvencie sú pravidelne opakujúce sa veľké odchýlky frekvencie vyskytujúce sa najčastejšie pri zmenách plánu salda zahraničnej spolupráce a plánu</w:t>
      </w:r>
      <w:r>
        <w:rPr>
          <w:lang w:bidi="ar-SA"/>
        </w:rPr>
        <w:t xml:space="preserve"> výrobných jednotiek. Sú spôsobené najmä veľkou skokovou zmenou výroby alebo čerpania a d</w:t>
      </w:r>
      <w:r>
        <w:t>o určitej miery sa vyskytujú u všetkých prepojených PPS.</w:t>
      </w:r>
    </w:p>
    <w:p w14:paraId="37FA9BAE" w14:textId="5014B54E" w:rsidR="00111090" w:rsidRDefault="00111090" w:rsidP="00037C7C">
      <w:pPr>
        <w:pStyle w:val="Odsekzoznamu"/>
      </w:pPr>
      <w:r>
        <w:t xml:space="preserve">Podmienky pre lineárne zmeny činného výkonu definované v tomto Návrhu sa vzťahujú iba na </w:t>
      </w:r>
      <w:r w:rsidR="00EF12AA">
        <w:t xml:space="preserve">zariadenia na výrobu elektriny a skupiny zariadení na výrobu elektriny </w:t>
      </w:r>
      <w:r>
        <w:t xml:space="preserve">typu D </w:t>
      </w:r>
      <w:r w:rsidR="00F84399">
        <w:t xml:space="preserve">pripojených </w:t>
      </w:r>
      <w:r>
        <w:t xml:space="preserve">do prenosovej sústavy (ďalej len „PS“) napäťovej úrovne 400 kV alebo 220 kV, </w:t>
      </w:r>
      <w:r w:rsidR="00C70BEB">
        <w:t>nakoľko majú výrazný vplyv pre skokové zmeny výroby elektriny</w:t>
      </w:r>
      <w:r w:rsidR="00037C7C">
        <w:t>,</w:t>
      </w:r>
      <w:r w:rsidR="00037C7C" w:rsidRPr="00037C7C">
        <w:t xml:space="preserve"> a</w:t>
      </w:r>
      <w:r w:rsidR="005C2A59">
        <w:t> tým vplývajú na</w:t>
      </w:r>
      <w:r w:rsidR="00037C7C" w:rsidRPr="00037C7C">
        <w:t xml:space="preserve"> veľkosť deterministických odchýlok frekvencie a FRCE</w:t>
      </w:r>
      <w:r>
        <w:t>.</w:t>
      </w:r>
    </w:p>
    <w:p w14:paraId="485BCC73" w14:textId="32776A37" w:rsidR="00111090" w:rsidRDefault="00111090" w:rsidP="00C70BEB">
      <w:pPr>
        <w:pStyle w:val="Odsekzoznamu"/>
      </w:pPr>
      <w:r>
        <w:t xml:space="preserve">Podmienky pre lineárne zmeny činného výkonu definované v tomto Návrhu sa nevzťahujú na jednotky typu A, B, C a D </w:t>
      </w:r>
      <w:r w:rsidR="00F84399">
        <w:t xml:space="preserve">pripojených </w:t>
      </w:r>
      <w:r>
        <w:t>do distribučných sústav napäťovej úrovne 110 kV a</w:t>
      </w:r>
      <w:r w:rsidR="00037C7C">
        <w:t> </w:t>
      </w:r>
      <w:r>
        <w:t>nižšie</w:t>
      </w:r>
      <w:r w:rsidR="00037C7C">
        <w:t xml:space="preserve"> napäťové úrovne</w:t>
      </w:r>
      <w:r>
        <w:t>,</w:t>
      </w:r>
      <w:r w:rsidR="00037C7C">
        <w:t xml:space="preserve"> nakoľko tieto</w:t>
      </w:r>
      <w:r>
        <w:t xml:space="preserve"> jednotky majú </w:t>
      </w:r>
      <w:r w:rsidR="00037C7C">
        <w:t xml:space="preserve">pomerne malý </w:t>
      </w:r>
      <w:r>
        <w:t>vplyv na veľkosť FRCE a veľkosť deterministických odchýlok frekvencie.</w:t>
      </w:r>
    </w:p>
    <w:p w14:paraId="59786AE1" w14:textId="05915C58" w:rsidR="003F0D8F" w:rsidRDefault="006D13BB" w:rsidP="004C38E3">
      <w:pPr>
        <w:pStyle w:val="Nadpis1"/>
      </w:pPr>
      <w:r>
        <w:t>Článok 2 -</w:t>
      </w:r>
      <w:r w:rsidR="00D676F7">
        <w:t xml:space="preserve"> </w:t>
      </w:r>
      <w:r w:rsidR="003F0D8F" w:rsidRPr="003F0D8F">
        <w:t>Definície použitých pojmov</w:t>
      </w:r>
    </w:p>
    <w:p w14:paraId="545B38E8" w14:textId="1C775EC7" w:rsidR="00D80B3A" w:rsidRDefault="00245DF8" w:rsidP="00F810AE">
      <w:pPr>
        <w:pStyle w:val="Odsekzoznamu"/>
        <w:numPr>
          <w:ilvl w:val="0"/>
          <w:numId w:val="16"/>
        </w:numPr>
        <w:spacing w:line="240" w:lineRule="auto"/>
        <w:rPr>
          <w:lang w:bidi="ar-SA"/>
        </w:rPr>
      </w:pPr>
      <w:r w:rsidRPr="00245DF8">
        <w:rPr>
          <w:lang w:bidi="ar-SA"/>
        </w:rPr>
        <w:t xml:space="preserve">Na účely tohto </w:t>
      </w:r>
      <w:r w:rsidR="00F04EA9">
        <w:rPr>
          <w:lang w:bidi="ar-SA"/>
        </w:rPr>
        <w:t>N</w:t>
      </w:r>
      <w:r w:rsidRPr="00245DF8">
        <w:rPr>
          <w:lang w:bidi="ar-SA"/>
        </w:rPr>
        <w:t>ávrhu sa uplatňuje</w:t>
      </w:r>
      <w:r>
        <w:rPr>
          <w:lang w:bidi="ar-SA"/>
        </w:rPr>
        <w:t xml:space="preserve"> vymedzenie pojmov podľa </w:t>
      </w:r>
      <w:r w:rsidRPr="00245DF8">
        <w:rPr>
          <w:lang w:bidi="ar-SA"/>
        </w:rPr>
        <w:t xml:space="preserve">článku 3 </w:t>
      </w:r>
      <w:r w:rsidR="00770181">
        <w:rPr>
          <w:lang w:bidi="ar-SA"/>
        </w:rPr>
        <w:t>N</w:t>
      </w:r>
      <w:r w:rsidRPr="00245DF8">
        <w:rPr>
          <w:lang w:bidi="ar-SA"/>
        </w:rPr>
        <w:t>ariadenia SOGL</w:t>
      </w:r>
      <w:r w:rsidR="00111090">
        <w:rPr>
          <w:lang w:bidi="ar-SA"/>
        </w:rPr>
        <w:t xml:space="preserve"> vrátane nasledovných definícií:</w:t>
      </w:r>
    </w:p>
    <w:tbl>
      <w:tblPr>
        <w:tblStyle w:val="Mriekatabuky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426"/>
        <w:gridCol w:w="6095"/>
      </w:tblGrid>
      <w:tr w:rsidR="00111090" w:rsidRPr="00BE1439" w14:paraId="4F23569F" w14:textId="77777777" w:rsidTr="00111090">
        <w:tc>
          <w:tcPr>
            <w:tcW w:w="2409" w:type="dxa"/>
          </w:tcPr>
          <w:p w14:paraId="60FCCA94" w14:textId="752987BE" w:rsidR="00111090" w:rsidRPr="00D84CB2" w:rsidRDefault="00111090" w:rsidP="00C74737">
            <w:pPr>
              <w:spacing w:before="60" w:after="60"/>
              <w:ind w:left="-108"/>
              <w:jc w:val="left"/>
              <w:rPr>
                <w:rFonts w:cs="Arial"/>
              </w:rPr>
            </w:pPr>
            <w:r w:rsidRPr="00D84CB2">
              <w:rPr>
                <w:rFonts w:cs="Arial"/>
              </w:rPr>
              <w:t xml:space="preserve">maximálna </w:t>
            </w:r>
            <w:r w:rsidR="00C4729D">
              <w:rPr>
                <w:rFonts w:cs="Arial"/>
              </w:rPr>
              <w:t xml:space="preserve">výrobná </w:t>
            </w:r>
            <w:r w:rsidRPr="00D84CB2">
              <w:rPr>
                <w:rFonts w:cs="Arial"/>
              </w:rPr>
              <w:t>kapacita alebo len „</w:t>
            </w:r>
            <w:proofErr w:type="spellStart"/>
            <w:r w:rsidRPr="00D84CB2">
              <w:rPr>
                <w:rFonts w:cs="Arial"/>
              </w:rPr>
              <w:t>P</w:t>
            </w:r>
            <w:r w:rsidRPr="00D84CB2">
              <w:rPr>
                <w:rFonts w:cs="Arial"/>
                <w:vertAlign w:val="subscript"/>
              </w:rPr>
              <w:t>max</w:t>
            </w:r>
            <w:proofErr w:type="spellEnd"/>
            <w:r w:rsidRPr="00D84CB2">
              <w:rPr>
                <w:rFonts w:cs="Arial"/>
              </w:rPr>
              <w:t>“</w:t>
            </w:r>
          </w:p>
        </w:tc>
        <w:tc>
          <w:tcPr>
            <w:tcW w:w="426" w:type="dxa"/>
          </w:tcPr>
          <w:p w14:paraId="5CF4894D" w14:textId="77777777" w:rsidR="00111090" w:rsidRPr="00D84CB2" w:rsidRDefault="00111090" w:rsidP="00C74737">
            <w:pPr>
              <w:spacing w:before="60" w:after="60"/>
              <w:rPr>
                <w:rFonts w:cs="Arial"/>
              </w:rPr>
            </w:pPr>
            <w:r w:rsidRPr="00D84CB2">
              <w:rPr>
                <w:rFonts w:cs="Arial"/>
              </w:rPr>
              <w:t>–</w:t>
            </w:r>
          </w:p>
        </w:tc>
        <w:tc>
          <w:tcPr>
            <w:tcW w:w="6095" w:type="dxa"/>
          </w:tcPr>
          <w:p w14:paraId="2C443148" w14:textId="6595D612" w:rsidR="00111090" w:rsidRPr="00D84CB2" w:rsidRDefault="00111090" w:rsidP="004E1AD3">
            <w:pPr>
              <w:spacing w:before="60" w:after="60"/>
              <w:rPr>
                <w:rFonts w:cs="Arial"/>
              </w:rPr>
            </w:pPr>
            <w:r w:rsidRPr="00D84CB2">
              <w:rPr>
                <w:rFonts w:cs="Arial"/>
              </w:rPr>
              <w:t xml:space="preserve">maximálny činný výkon, ktorý </w:t>
            </w:r>
            <w:r w:rsidR="00C4729D">
              <w:rPr>
                <w:rFonts w:cs="Arial"/>
              </w:rPr>
              <w:t>je schopné dodávať</w:t>
            </w:r>
            <w:r w:rsidR="00C4729D" w:rsidRPr="00D84CB2">
              <w:rPr>
                <w:rFonts w:cs="Arial"/>
              </w:rPr>
              <w:t xml:space="preserve"> </w:t>
            </w:r>
            <w:r w:rsidR="000E45FF">
              <w:rPr>
                <w:rFonts w:cs="Arial"/>
              </w:rPr>
              <w:t xml:space="preserve">zariadenie alebo skupina zariadení </w:t>
            </w:r>
            <w:r w:rsidRPr="00D84CB2">
              <w:rPr>
                <w:rFonts w:cs="Arial"/>
              </w:rPr>
              <w:t xml:space="preserve">na výrobu elektriny, </w:t>
            </w:r>
            <w:r w:rsidR="00C4729D">
              <w:rPr>
                <w:rFonts w:cs="Arial"/>
              </w:rPr>
              <w:t xml:space="preserve">pričom do maximálneho </w:t>
            </w:r>
            <w:r w:rsidR="004E1AD3">
              <w:rPr>
                <w:rFonts w:cs="Arial"/>
              </w:rPr>
              <w:t>činného</w:t>
            </w:r>
            <w:r w:rsidR="00C4729D">
              <w:rPr>
                <w:rFonts w:cs="Arial"/>
              </w:rPr>
              <w:t xml:space="preserve"> výkonu nie je započítaný odber </w:t>
            </w:r>
            <w:r w:rsidRPr="00D84CB2">
              <w:rPr>
                <w:rFonts w:cs="Arial"/>
              </w:rPr>
              <w:t>súvisiaci výlučne s uľahčením prevádzky danej jednotky na výrobu elektriny, ktorý sa neprivádza do siete v súlade so zmluvou o pripojení alebo na základe dohody medzi príslušným prevádzkovateľom sústavy a vlastníkom zariadenia na výrobu elektriny;</w:t>
            </w:r>
          </w:p>
        </w:tc>
      </w:tr>
      <w:tr w:rsidR="00111090" w:rsidRPr="00BE1439" w14:paraId="69DA9E2B" w14:textId="77777777" w:rsidTr="00111090">
        <w:tc>
          <w:tcPr>
            <w:tcW w:w="2409" w:type="dxa"/>
          </w:tcPr>
          <w:p w14:paraId="79761F30" w14:textId="2A328C42" w:rsidR="00111090" w:rsidRPr="00D84CB2" w:rsidRDefault="00111090" w:rsidP="00C74737">
            <w:pPr>
              <w:spacing w:before="60" w:after="60"/>
              <w:ind w:left="-108"/>
              <w:rPr>
                <w:rFonts w:cs="Arial"/>
              </w:rPr>
            </w:pPr>
            <w:r w:rsidRPr="00D84CB2">
              <w:rPr>
                <w:rFonts w:cs="Arial"/>
              </w:rPr>
              <w:t>zariadenie typu A, B, C</w:t>
            </w:r>
            <w:r w:rsidR="00747BF5" w:rsidRPr="00D84CB2">
              <w:rPr>
                <w:rFonts w:cs="Arial"/>
              </w:rPr>
              <w:t xml:space="preserve"> a</w:t>
            </w:r>
            <w:r w:rsidR="00037C7C">
              <w:rPr>
                <w:rFonts w:cs="Arial"/>
              </w:rPr>
              <w:t> </w:t>
            </w:r>
            <w:r w:rsidRPr="00D84CB2">
              <w:rPr>
                <w:rFonts w:cs="Arial"/>
              </w:rPr>
              <w:t>D</w:t>
            </w:r>
          </w:p>
        </w:tc>
        <w:tc>
          <w:tcPr>
            <w:tcW w:w="426" w:type="dxa"/>
          </w:tcPr>
          <w:p w14:paraId="43976248" w14:textId="77777777" w:rsidR="00111090" w:rsidRPr="00D84CB2" w:rsidRDefault="00111090" w:rsidP="00C74737">
            <w:pPr>
              <w:spacing w:before="60" w:after="60"/>
              <w:rPr>
                <w:rFonts w:cs="Arial"/>
              </w:rPr>
            </w:pPr>
            <w:r w:rsidRPr="00D84CB2">
              <w:rPr>
                <w:rFonts w:cs="Arial"/>
              </w:rPr>
              <w:t>–</w:t>
            </w:r>
          </w:p>
        </w:tc>
        <w:tc>
          <w:tcPr>
            <w:tcW w:w="6095" w:type="dxa"/>
          </w:tcPr>
          <w:p w14:paraId="21A24916" w14:textId="77777777" w:rsidR="00111090" w:rsidRPr="00D84CB2" w:rsidRDefault="00111090" w:rsidP="00C74737">
            <w:pPr>
              <w:spacing w:before="60" w:after="60"/>
              <w:rPr>
                <w:rFonts w:cs="Arial"/>
              </w:rPr>
            </w:pPr>
            <w:r w:rsidRPr="00D84CB2">
              <w:rPr>
                <w:rFonts w:cs="Arial"/>
              </w:rPr>
              <w:t>typy zariadení v zmysle Nariadenia Komisie (EÚ) 2016/631, ktorým sa stanovujú požiadavky na pripojenie výrobcov elektriny do elektrizačnej sústavy</w:t>
            </w:r>
          </w:p>
        </w:tc>
      </w:tr>
    </w:tbl>
    <w:p w14:paraId="551A39E3" w14:textId="0A8CBB14" w:rsidR="00DF4516" w:rsidRPr="004C38E3" w:rsidRDefault="006D13BB" w:rsidP="004C38E3">
      <w:pPr>
        <w:pStyle w:val="Nadpis1"/>
      </w:pPr>
      <w:r w:rsidRPr="004C38E3">
        <w:lastRenderedPageBreak/>
        <w:t>Článok 3 -</w:t>
      </w:r>
      <w:r w:rsidR="00DF4516" w:rsidRPr="004C38E3">
        <w:t xml:space="preserve"> </w:t>
      </w:r>
      <w:r w:rsidR="004C38E3" w:rsidRPr="004C38E3">
        <w:t>Stanovenie časov požadovaných lineárnych zmien</w:t>
      </w:r>
    </w:p>
    <w:p w14:paraId="5193EBAA" w14:textId="77777777" w:rsidR="004C38E3" w:rsidRPr="004C38E3" w:rsidRDefault="004C38E3" w:rsidP="00D84CB2">
      <w:pPr>
        <w:pStyle w:val="Odsekzoznamu"/>
        <w:numPr>
          <w:ilvl w:val="0"/>
          <w:numId w:val="30"/>
        </w:numPr>
      </w:pPr>
      <w:r w:rsidRPr="004C38E3">
        <w:rPr>
          <w:lang w:bidi="ar-SA"/>
        </w:rPr>
        <w:t>Časy požadovaných lineárnych zmien činného výkonu sú pre blok LFC SEPS stanovené nasledovne:</w:t>
      </w:r>
    </w:p>
    <w:p w14:paraId="02F9B882" w14:textId="65DEB174" w:rsidR="004C38E3" w:rsidRPr="004C38E3" w:rsidRDefault="004C38E3" w:rsidP="004C38E3">
      <w:pPr>
        <w:pStyle w:val="Odsekzoznamu"/>
        <w:numPr>
          <w:ilvl w:val="1"/>
          <w:numId w:val="5"/>
        </w:numPr>
      </w:pPr>
      <w:r w:rsidRPr="004C38E3">
        <w:t xml:space="preserve">začiatok lineárnej zmeny činného výkonu </w:t>
      </w:r>
      <w:bookmarkStart w:id="5" w:name="_GoBack"/>
      <w:r w:rsidRPr="004C38E3">
        <w:t xml:space="preserve">je požadovaný </w:t>
      </w:r>
      <w:r w:rsidR="00662B98">
        <w:t xml:space="preserve">najskôr </w:t>
      </w:r>
      <w:r w:rsidRPr="004C38E3">
        <w:t xml:space="preserve">5 </w:t>
      </w:r>
      <w:bookmarkEnd w:id="5"/>
      <w:r w:rsidRPr="004C38E3">
        <w:t>minút pred zmenou plánovanej výroby jednotky na výrobu elektriny;</w:t>
      </w:r>
    </w:p>
    <w:p w14:paraId="4459BEE6" w14:textId="77777777" w:rsidR="004C38E3" w:rsidRPr="004C38E3" w:rsidRDefault="004C38E3" w:rsidP="004C38E3">
      <w:pPr>
        <w:pStyle w:val="Odsekzoznamu"/>
        <w:numPr>
          <w:ilvl w:val="1"/>
          <w:numId w:val="5"/>
        </w:numPr>
      </w:pPr>
      <w:r w:rsidRPr="004C38E3">
        <w:t>koniec lineárnej zmeny činného výkonu je požadovaný maximálne 5 minút po zmene plánovanej výroby jednotky na výrobu elektriny;</w:t>
      </w:r>
    </w:p>
    <w:p w14:paraId="48C1CD1F" w14:textId="1E180188" w:rsidR="004C38E3" w:rsidRPr="004C38E3" w:rsidRDefault="004C38E3" w:rsidP="004C38E3">
      <w:pPr>
        <w:pStyle w:val="Odsekzoznamu"/>
        <w:numPr>
          <w:ilvl w:val="1"/>
          <w:numId w:val="5"/>
        </w:numPr>
      </w:pPr>
      <w:r w:rsidRPr="004C38E3">
        <w:t>celková dĺžka obdobia lineárnej zmeny</w:t>
      </w:r>
      <w:r w:rsidR="00381BBF" w:rsidRPr="00381BBF">
        <w:t xml:space="preserve"> </w:t>
      </w:r>
      <w:r w:rsidR="00381BBF" w:rsidRPr="004C38E3">
        <w:t>činného výkonu</w:t>
      </w:r>
      <w:r w:rsidRPr="004C38E3">
        <w:t xml:space="preserve"> je </w:t>
      </w:r>
      <w:r w:rsidR="00037C7C">
        <w:t xml:space="preserve">na základe bodov a) a b) </w:t>
      </w:r>
      <w:r w:rsidR="009F3877">
        <w:t xml:space="preserve">maximálne </w:t>
      </w:r>
      <w:r w:rsidRPr="004C38E3">
        <w:t>10 minút.</w:t>
      </w:r>
    </w:p>
    <w:p w14:paraId="48C74743" w14:textId="6D41F87F" w:rsidR="004C38E3" w:rsidRPr="00F810AE" w:rsidRDefault="004C38E3" w:rsidP="004C38E3">
      <w:pPr>
        <w:pStyle w:val="Nadpis1"/>
        <w:rPr>
          <w:highlight w:val="cyan"/>
        </w:rPr>
      </w:pPr>
      <w:r w:rsidRPr="004C38E3">
        <w:t>Článok 4 - Podmienky pre lineárne zmeny činného výkonu jednotiek na výrobu elektriny</w:t>
      </w:r>
    </w:p>
    <w:p w14:paraId="5A84492B" w14:textId="1B6310F1" w:rsidR="004C38E3" w:rsidRPr="005C2A59" w:rsidRDefault="004C38E3" w:rsidP="004C38E3">
      <w:pPr>
        <w:pStyle w:val="Odsekzoznamu"/>
        <w:numPr>
          <w:ilvl w:val="0"/>
          <w:numId w:val="19"/>
        </w:numPr>
        <w:rPr>
          <w:lang w:bidi="ar-SA"/>
        </w:rPr>
      </w:pPr>
      <w:r w:rsidRPr="005C2A59">
        <w:rPr>
          <w:lang w:bidi="ar-SA"/>
        </w:rPr>
        <w:t xml:space="preserve">Podmienky pre lineárne zmeny činného výkonu jednotiek na výrobu elektriny sa týkajú iba </w:t>
      </w:r>
      <w:r w:rsidR="00FB519E" w:rsidRPr="005C2A59">
        <w:rPr>
          <w:lang w:bidi="ar-SA"/>
        </w:rPr>
        <w:t xml:space="preserve">zariadení na výrobu elektriny a </w:t>
      </w:r>
      <w:r w:rsidRPr="005C2A59">
        <w:rPr>
          <w:lang w:bidi="ar-SA"/>
        </w:rPr>
        <w:t xml:space="preserve"> skup</w:t>
      </w:r>
      <w:r w:rsidR="00FB519E" w:rsidRPr="005C2A59">
        <w:rPr>
          <w:lang w:bidi="ar-SA"/>
        </w:rPr>
        <w:t>iny zariadení na výrobu</w:t>
      </w:r>
      <w:r w:rsidRPr="005C2A59">
        <w:rPr>
          <w:lang w:bidi="ar-SA"/>
        </w:rPr>
        <w:t xml:space="preserve"> elektriny typu D pripojených do prenosovej sústavy napäťovej úrovne 400 kV alebo 220 kV.</w:t>
      </w:r>
    </w:p>
    <w:p w14:paraId="1B779B18" w14:textId="74039EDE" w:rsidR="004C38E3" w:rsidRPr="004C38E3" w:rsidRDefault="004C38E3" w:rsidP="004C38E3">
      <w:pPr>
        <w:pStyle w:val="Odsekzoznamu"/>
        <w:numPr>
          <w:ilvl w:val="0"/>
          <w:numId w:val="19"/>
        </w:numPr>
        <w:rPr>
          <w:lang w:bidi="ar-SA"/>
        </w:rPr>
      </w:pPr>
      <w:r w:rsidRPr="004C38E3">
        <w:t xml:space="preserve">Podmienky pre lineárne zmeny činného výkonu </w:t>
      </w:r>
      <w:r w:rsidR="00E84954">
        <w:t>zariadení alebo skupiny zariadení</w:t>
      </w:r>
      <w:r w:rsidR="00E84954" w:rsidRPr="004C38E3">
        <w:t xml:space="preserve"> </w:t>
      </w:r>
      <w:r w:rsidRPr="004C38E3">
        <w:t>na výrobu elektriny sú rozdelené do</w:t>
      </w:r>
      <w:r w:rsidR="00D84CB2">
        <w:t xml:space="preserve"> dvoch</w:t>
      </w:r>
      <w:r w:rsidRPr="004C38E3">
        <w:t xml:space="preserve"> kategórii v závislosti od typu </w:t>
      </w:r>
      <w:r w:rsidR="00E84954">
        <w:t>zariadenia alebo skupiny zariadení na výrobu elektriny</w:t>
      </w:r>
      <w:r w:rsidRPr="004C38E3">
        <w:t>:</w:t>
      </w:r>
    </w:p>
    <w:p w14:paraId="1B2FDF16" w14:textId="7F954FAB" w:rsidR="00620020" w:rsidRDefault="004C38E3" w:rsidP="00D84CB2">
      <w:pPr>
        <w:pStyle w:val="Odsekzoznamu"/>
        <w:numPr>
          <w:ilvl w:val="1"/>
          <w:numId w:val="5"/>
        </w:numPr>
        <w:rPr>
          <w:lang w:bidi="ar-SA"/>
        </w:rPr>
      </w:pPr>
      <w:r w:rsidRPr="004C38E3">
        <w:rPr>
          <w:lang w:bidi="ar-SA"/>
        </w:rPr>
        <w:t>Podmienky pre lineárne zmeny činného výkonu</w:t>
      </w:r>
      <w:r w:rsidR="00FC64B7">
        <w:rPr>
          <w:lang w:bidi="ar-SA"/>
        </w:rPr>
        <w:t xml:space="preserve"> pre</w:t>
      </w:r>
      <w:r w:rsidRPr="004C38E3">
        <w:rPr>
          <w:lang w:bidi="ar-SA"/>
        </w:rPr>
        <w:t xml:space="preserve"> </w:t>
      </w:r>
      <w:r w:rsidR="00037C7C">
        <w:rPr>
          <w:lang w:bidi="ar-SA"/>
        </w:rPr>
        <w:t>zariadenia</w:t>
      </w:r>
      <w:r w:rsidR="00037C7C" w:rsidRPr="004C38E3">
        <w:rPr>
          <w:lang w:bidi="ar-SA"/>
        </w:rPr>
        <w:t xml:space="preserve"> </w:t>
      </w:r>
      <w:r w:rsidR="00C20FDB">
        <w:rPr>
          <w:lang w:bidi="ar-SA"/>
        </w:rPr>
        <w:t>alebo</w:t>
      </w:r>
      <w:r w:rsidRPr="004C38E3">
        <w:rPr>
          <w:lang w:bidi="ar-SA"/>
        </w:rPr>
        <w:t xml:space="preserve"> skup</w:t>
      </w:r>
      <w:r w:rsidR="00C20FDB">
        <w:rPr>
          <w:lang w:bidi="ar-SA"/>
        </w:rPr>
        <w:t>i</w:t>
      </w:r>
      <w:r w:rsidRPr="004C38E3">
        <w:rPr>
          <w:lang w:bidi="ar-SA"/>
        </w:rPr>
        <w:t>n</w:t>
      </w:r>
      <w:r w:rsidR="00C20FDB">
        <w:rPr>
          <w:lang w:bidi="ar-SA"/>
        </w:rPr>
        <w:t>y zariadení na výrobu elektriny</w:t>
      </w:r>
      <w:r w:rsidR="00FC64B7">
        <w:rPr>
          <w:lang w:bidi="ar-SA"/>
        </w:rPr>
        <w:t>, ktoré sú technicky schopné poskytnúť</w:t>
      </w:r>
      <w:r w:rsidRPr="004C38E3">
        <w:rPr>
          <w:lang w:bidi="ar-SA"/>
        </w:rPr>
        <w:t xml:space="preserve"> </w:t>
      </w:r>
      <w:r w:rsidR="00FC64B7">
        <w:rPr>
          <w:lang w:bidi="ar-SA"/>
        </w:rPr>
        <w:t>kontinuálne</w:t>
      </w:r>
      <w:r w:rsidR="002C5CDB" w:rsidRPr="004C38E3">
        <w:rPr>
          <w:lang w:bidi="ar-SA"/>
        </w:rPr>
        <w:t xml:space="preserve"> </w:t>
      </w:r>
      <w:r w:rsidRPr="004C38E3">
        <w:rPr>
          <w:lang w:bidi="ar-SA"/>
        </w:rPr>
        <w:t>zmen</w:t>
      </w:r>
      <w:r w:rsidR="00FC64B7">
        <w:rPr>
          <w:lang w:bidi="ar-SA"/>
        </w:rPr>
        <w:t>y</w:t>
      </w:r>
      <w:r w:rsidRPr="004C38E3">
        <w:rPr>
          <w:lang w:bidi="ar-SA"/>
        </w:rPr>
        <w:t xml:space="preserve"> činného výkonu</w:t>
      </w:r>
      <w:r w:rsidR="00620020">
        <w:rPr>
          <w:lang w:bidi="ar-SA"/>
        </w:rPr>
        <w:t>:</w:t>
      </w:r>
    </w:p>
    <w:p w14:paraId="62B03005" w14:textId="1E1E4697" w:rsidR="004C38E3" w:rsidRPr="004C38E3" w:rsidRDefault="004C38E3" w:rsidP="005C2A59">
      <w:pPr>
        <w:pStyle w:val="Odsekzoznamu"/>
        <w:numPr>
          <w:ilvl w:val="2"/>
          <w:numId w:val="5"/>
        </w:numPr>
        <w:ind w:left="1560" w:hanging="426"/>
        <w:rPr>
          <w:lang w:bidi="ar-SA"/>
        </w:rPr>
      </w:pPr>
      <w:r w:rsidRPr="004C38E3">
        <w:rPr>
          <w:lang w:bidi="ar-SA"/>
        </w:rPr>
        <w:t>Zmena výroby musí byť rovnomerne rozložená počas obdobia lineárnej zmeny s rešpektovaním minimálneho a maximálneho technicky dovoleného trendu zmeny výkonu prísluš</w:t>
      </w:r>
      <w:r w:rsidR="000E45FF">
        <w:rPr>
          <w:lang w:bidi="ar-SA"/>
        </w:rPr>
        <w:t>ného výrobného zariadenia</w:t>
      </w:r>
      <w:r w:rsidR="00620020" w:rsidRPr="00620020">
        <w:t xml:space="preserve"> </w:t>
      </w:r>
      <w:r w:rsidR="00620020" w:rsidRPr="00620020">
        <w:rPr>
          <w:lang w:bidi="ar-SA"/>
        </w:rPr>
        <w:t>alebo skupiny zariadení na výrobu elektriny</w:t>
      </w:r>
      <w:r w:rsidRPr="004C38E3">
        <w:rPr>
          <w:lang w:bidi="ar-SA"/>
        </w:rPr>
        <w:t>. Maximálny trend dovolenej lineárnej zmeny výrobn</w:t>
      </w:r>
      <w:r w:rsidR="000E45FF">
        <w:rPr>
          <w:lang w:bidi="ar-SA"/>
        </w:rPr>
        <w:t>ého zariadenia</w:t>
      </w:r>
      <w:r w:rsidRPr="004C38E3">
        <w:rPr>
          <w:lang w:bidi="ar-SA"/>
        </w:rPr>
        <w:t xml:space="preserve"> je 10</w:t>
      </w:r>
      <w:r w:rsidR="000E45FF">
        <w:rPr>
          <w:lang w:bidi="ar-SA"/>
        </w:rPr>
        <w:t> </w:t>
      </w:r>
      <w:r w:rsidRPr="004C38E3">
        <w:rPr>
          <w:lang w:bidi="ar-SA"/>
        </w:rPr>
        <w:t>%</w:t>
      </w:r>
      <w:r w:rsidR="000E45FF">
        <w:rPr>
          <w:lang w:bidi="ar-SA"/>
        </w:rPr>
        <w:t> </w:t>
      </w:r>
      <w:proofErr w:type="spellStart"/>
      <w:r w:rsidRPr="004C38E3">
        <w:rPr>
          <w:lang w:bidi="ar-SA"/>
        </w:rPr>
        <w:t>P</w:t>
      </w:r>
      <w:r w:rsidRPr="00D84CB2">
        <w:rPr>
          <w:vertAlign w:val="subscript"/>
          <w:lang w:bidi="ar-SA"/>
        </w:rPr>
        <w:t>max</w:t>
      </w:r>
      <w:proofErr w:type="spellEnd"/>
      <w:r w:rsidR="00D84CB2">
        <w:rPr>
          <w:lang w:bidi="ar-SA"/>
        </w:rPr>
        <w:t xml:space="preserve"> za jednu minútu</w:t>
      </w:r>
      <w:r w:rsidRPr="004C38E3">
        <w:rPr>
          <w:lang w:bidi="ar-SA"/>
        </w:rPr>
        <w:t xml:space="preserve"> v mieste pripojenia do PS.</w:t>
      </w:r>
    </w:p>
    <w:p w14:paraId="40D504B6" w14:textId="722A3F92" w:rsidR="00620020" w:rsidRDefault="004C38E3" w:rsidP="004C38E3">
      <w:pPr>
        <w:pStyle w:val="Odsekzoznamu"/>
        <w:numPr>
          <w:ilvl w:val="1"/>
          <w:numId w:val="5"/>
        </w:numPr>
        <w:rPr>
          <w:lang w:bidi="ar-SA"/>
        </w:rPr>
      </w:pPr>
      <w:r w:rsidRPr="004C38E3">
        <w:rPr>
          <w:lang w:bidi="ar-SA"/>
        </w:rPr>
        <w:t xml:space="preserve">Podmienky pre lineárne zmeny činného výkonu </w:t>
      </w:r>
      <w:r w:rsidR="00EF173A">
        <w:rPr>
          <w:lang w:bidi="ar-SA"/>
        </w:rPr>
        <w:t>zariaden</w:t>
      </w:r>
      <w:r w:rsidR="00037C7C">
        <w:rPr>
          <w:lang w:bidi="ar-SA"/>
        </w:rPr>
        <w:t>ia</w:t>
      </w:r>
      <w:r w:rsidR="00EF173A">
        <w:rPr>
          <w:lang w:bidi="ar-SA"/>
        </w:rPr>
        <w:t xml:space="preserve"> alebo skupiny zariadení na výrobu elektriny</w:t>
      </w:r>
      <w:r w:rsidR="00037C7C">
        <w:rPr>
          <w:lang w:bidi="ar-SA"/>
        </w:rPr>
        <w:t>, ktoré nie sú technicky schopné</w:t>
      </w:r>
      <w:r w:rsidR="00037C7C" w:rsidRPr="004C38E3">
        <w:rPr>
          <w:lang w:bidi="ar-SA"/>
        </w:rPr>
        <w:t xml:space="preserve"> </w:t>
      </w:r>
      <w:r w:rsidR="00FC64B7">
        <w:rPr>
          <w:lang w:bidi="ar-SA"/>
        </w:rPr>
        <w:t>poskytnúť kontinuálne</w:t>
      </w:r>
      <w:r w:rsidR="002C5CDB" w:rsidRPr="004C38E3">
        <w:rPr>
          <w:lang w:bidi="ar-SA"/>
        </w:rPr>
        <w:t xml:space="preserve"> </w:t>
      </w:r>
      <w:r w:rsidRPr="004C38E3">
        <w:rPr>
          <w:lang w:bidi="ar-SA"/>
        </w:rPr>
        <w:t>zmeny činného výkonu</w:t>
      </w:r>
      <w:r w:rsidR="00620020">
        <w:rPr>
          <w:lang w:bidi="ar-SA"/>
        </w:rPr>
        <w:t>:</w:t>
      </w:r>
    </w:p>
    <w:p w14:paraId="5427BCFA" w14:textId="7D5C9133" w:rsidR="004C38E3" w:rsidRPr="004C38E3" w:rsidRDefault="004C38E3" w:rsidP="005C2A59">
      <w:pPr>
        <w:pStyle w:val="Odsekzoznamu"/>
        <w:numPr>
          <w:ilvl w:val="2"/>
          <w:numId w:val="5"/>
        </w:numPr>
        <w:ind w:left="1560" w:hanging="426"/>
        <w:rPr>
          <w:lang w:bidi="ar-SA"/>
        </w:rPr>
      </w:pPr>
      <w:r w:rsidRPr="004C38E3">
        <w:rPr>
          <w:lang w:bidi="ar-SA"/>
        </w:rPr>
        <w:t xml:space="preserve">Zmena výroby musí byť rovnomerne rozložená počas obdobia lineárnej zmeny s rešpektovaním minimálneho a maximálneho technicky dovoleného trendu zmeny výkonu </w:t>
      </w:r>
      <w:r w:rsidR="0067583F" w:rsidRPr="004C38E3">
        <w:rPr>
          <w:lang w:bidi="ar-SA"/>
        </w:rPr>
        <w:t>príslušné</w:t>
      </w:r>
      <w:r w:rsidR="0067583F">
        <w:rPr>
          <w:lang w:bidi="ar-SA"/>
        </w:rPr>
        <w:t>ho</w:t>
      </w:r>
      <w:r w:rsidR="00FD6297">
        <w:rPr>
          <w:lang w:bidi="ar-SA"/>
        </w:rPr>
        <w:t xml:space="preserve"> </w:t>
      </w:r>
      <w:r w:rsidR="00620020">
        <w:rPr>
          <w:lang w:bidi="ar-SA"/>
        </w:rPr>
        <w:t xml:space="preserve">výrobného </w:t>
      </w:r>
      <w:r w:rsidR="00FD6297">
        <w:rPr>
          <w:lang w:bidi="ar-SA"/>
        </w:rPr>
        <w:t>zariadenia alebo skupiny zariadení na</w:t>
      </w:r>
      <w:r w:rsidRPr="004C38E3">
        <w:rPr>
          <w:lang w:bidi="ar-SA"/>
        </w:rPr>
        <w:t xml:space="preserve"> výrobu elektriny. Jednotlivá skoková zmena nesmie prekročiť 25 % </w:t>
      </w:r>
      <w:proofErr w:type="spellStart"/>
      <w:r w:rsidRPr="004C38E3">
        <w:rPr>
          <w:lang w:bidi="ar-SA"/>
        </w:rPr>
        <w:t>P</w:t>
      </w:r>
      <w:r w:rsidRPr="00E932EB">
        <w:rPr>
          <w:vertAlign w:val="subscript"/>
          <w:lang w:bidi="ar-SA"/>
        </w:rPr>
        <w:t>max</w:t>
      </w:r>
      <w:proofErr w:type="spellEnd"/>
      <w:r w:rsidRPr="004C38E3">
        <w:rPr>
          <w:lang w:bidi="ar-SA"/>
        </w:rPr>
        <w:t xml:space="preserve"> </w:t>
      </w:r>
      <w:r w:rsidR="00C20FDB">
        <w:rPr>
          <w:lang w:bidi="ar-SA"/>
        </w:rPr>
        <w:t xml:space="preserve">zariadenia alebo skupiny zariadení </w:t>
      </w:r>
      <w:r w:rsidRPr="004C38E3">
        <w:rPr>
          <w:lang w:bidi="ar-SA"/>
        </w:rPr>
        <w:t>na výrobu elektriny v mieste pripojenia do PS</w:t>
      </w:r>
      <w:r w:rsidR="00C20FDB">
        <w:rPr>
          <w:lang w:bidi="ar-SA"/>
        </w:rPr>
        <w:t>, pričom m</w:t>
      </w:r>
      <w:r w:rsidRPr="004C38E3">
        <w:rPr>
          <w:lang w:bidi="ar-SA"/>
        </w:rPr>
        <w:t>inimálny časový úsek medzi jednotlivými skokovými zmenami musí byť rovný alebo dlhší ako 2,5 minúty.</w:t>
      </w:r>
    </w:p>
    <w:p w14:paraId="623C3E98" w14:textId="75F39194" w:rsidR="004C38E3" w:rsidRDefault="004C38E3" w:rsidP="004C38E3">
      <w:pPr>
        <w:pStyle w:val="Odsekzoznamu"/>
        <w:rPr>
          <w:lang w:bidi="ar-SA"/>
        </w:rPr>
      </w:pPr>
      <w:r w:rsidRPr="005C2A59">
        <w:rPr>
          <w:lang w:bidi="ar-SA"/>
        </w:rPr>
        <w:lastRenderedPageBreak/>
        <w:t>Podmienky pre lineárne zmeny činného výkonu</w:t>
      </w:r>
      <w:r w:rsidR="00E906FF">
        <w:rPr>
          <w:lang w:bidi="ar-SA"/>
        </w:rPr>
        <w:t xml:space="preserve"> zariadení alebo skupiny zariadení</w:t>
      </w:r>
      <w:r w:rsidRPr="005C2A59">
        <w:rPr>
          <w:lang w:bidi="ar-SA"/>
        </w:rPr>
        <w:t xml:space="preserve"> na výrobu elektriny podľa čl. 4</w:t>
      </w:r>
      <w:r w:rsidR="00E906FF">
        <w:rPr>
          <w:lang w:bidi="ar-SA"/>
        </w:rPr>
        <w:t>,</w:t>
      </w:r>
      <w:r w:rsidRPr="005C2A59">
        <w:rPr>
          <w:lang w:bidi="ar-SA"/>
        </w:rPr>
        <w:t xml:space="preserve"> ods.</w:t>
      </w:r>
      <w:r w:rsidR="00E906FF">
        <w:rPr>
          <w:lang w:bidi="ar-SA"/>
        </w:rPr>
        <w:t> </w:t>
      </w:r>
      <w:r w:rsidRPr="005C2A59">
        <w:rPr>
          <w:lang w:bidi="ar-SA"/>
        </w:rPr>
        <w:t>2 bodov a) a b) tohto Návrhu sa nevzťahujú pre prípad aktivácie FRR.</w:t>
      </w:r>
    </w:p>
    <w:p w14:paraId="34566D19" w14:textId="0221FC5F" w:rsidR="00E906FF" w:rsidRDefault="003249EA" w:rsidP="004C38E3">
      <w:pPr>
        <w:pStyle w:val="Odsekzoznamu"/>
        <w:rPr>
          <w:lang w:bidi="ar-SA"/>
        </w:rPr>
      </w:pPr>
      <w:r>
        <w:rPr>
          <w:lang w:bidi="ar-SA"/>
        </w:rPr>
        <w:t xml:space="preserve">V prípade nedodržiavania </w:t>
      </w:r>
      <w:r w:rsidR="00E906FF">
        <w:rPr>
          <w:lang w:bidi="ar-SA"/>
        </w:rPr>
        <w:t xml:space="preserve">podmienok lineárnych zmien činného výkonu </w:t>
      </w:r>
      <w:r>
        <w:rPr>
          <w:lang w:bidi="ar-SA"/>
        </w:rPr>
        <w:t>v zmysle tohto Návrhu môže PPS</w:t>
      </w:r>
      <w:r w:rsidR="00E906FF">
        <w:rPr>
          <w:lang w:bidi="ar-SA"/>
        </w:rPr>
        <w:t xml:space="preserve"> </w:t>
      </w:r>
      <w:r w:rsidR="002900C8">
        <w:rPr>
          <w:lang w:bidi="ar-SA"/>
        </w:rPr>
        <w:t>obmedziť dodávku zariadenia alebo skupiny zariadení na výrobu elektriny za účelom zmiernenia výšky deterministickej odchýlky frekvencie</w:t>
      </w:r>
      <w:r w:rsidR="00D31D22">
        <w:rPr>
          <w:lang w:bidi="ar-SA"/>
        </w:rPr>
        <w:t xml:space="preserve"> a FRCE</w:t>
      </w:r>
      <w:r w:rsidR="002900C8">
        <w:rPr>
          <w:lang w:bidi="ar-SA"/>
        </w:rPr>
        <w:t>.</w:t>
      </w:r>
    </w:p>
    <w:p w14:paraId="3560B0FE" w14:textId="1B0F026A" w:rsidR="000F657C" w:rsidRPr="001549D7" w:rsidRDefault="006D13BB" w:rsidP="004C38E3">
      <w:pPr>
        <w:pStyle w:val="Nadpis1"/>
      </w:pPr>
      <w:r>
        <w:t>Č</w:t>
      </w:r>
      <w:r w:rsidR="004C38E3">
        <w:t>lánok 5</w:t>
      </w:r>
      <w:r>
        <w:t xml:space="preserve"> - </w:t>
      </w:r>
      <w:r w:rsidR="000F657C" w:rsidRPr="001549D7">
        <w:t xml:space="preserve">Časový plán </w:t>
      </w:r>
      <w:r w:rsidR="00245DF8" w:rsidRPr="001549D7">
        <w:t>implementácie</w:t>
      </w:r>
      <w:r w:rsidR="000F657C" w:rsidRPr="001549D7">
        <w:t xml:space="preserve"> </w:t>
      </w:r>
      <w:r w:rsidR="0076194E" w:rsidRPr="001549D7">
        <w:t xml:space="preserve">metodiky </w:t>
      </w:r>
    </w:p>
    <w:p w14:paraId="68B22B50" w14:textId="04EBD0D4" w:rsidR="000B1BAD" w:rsidRPr="001549D7" w:rsidRDefault="0076194E" w:rsidP="004C38E3">
      <w:pPr>
        <w:pStyle w:val="Odsekzoznamu"/>
        <w:numPr>
          <w:ilvl w:val="0"/>
          <w:numId w:val="22"/>
        </w:numPr>
        <w:rPr>
          <w:rFonts w:eastAsia="Times New Roman"/>
        </w:rPr>
      </w:pPr>
      <w:r w:rsidRPr="001549D7">
        <w:rPr>
          <w:lang w:bidi="ar-SA"/>
        </w:rPr>
        <w:t xml:space="preserve">Táto metodika </w:t>
      </w:r>
      <w:r w:rsidR="00A47245" w:rsidRPr="001549D7">
        <w:rPr>
          <w:lang w:bidi="ar-SA"/>
        </w:rPr>
        <w:t>nadob</w:t>
      </w:r>
      <w:r w:rsidR="00A47245">
        <w:rPr>
          <w:lang w:bidi="ar-SA"/>
        </w:rPr>
        <w:t>úda</w:t>
      </w:r>
      <w:r w:rsidR="00A47245" w:rsidRPr="001549D7">
        <w:rPr>
          <w:lang w:bidi="ar-SA"/>
        </w:rPr>
        <w:t xml:space="preserve"> </w:t>
      </w:r>
      <w:r w:rsidRPr="001549D7">
        <w:rPr>
          <w:lang w:bidi="ar-SA"/>
        </w:rPr>
        <w:t xml:space="preserve">platnosť v súlade s článkom 119 ods. 2 </w:t>
      </w:r>
      <w:r w:rsidR="00770181">
        <w:rPr>
          <w:lang w:bidi="ar-SA"/>
        </w:rPr>
        <w:t>N</w:t>
      </w:r>
      <w:r w:rsidRPr="001549D7">
        <w:rPr>
          <w:lang w:bidi="ar-SA"/>
        </w:rPr>
        <w:t xml:space="preserve">ariadenia SOGL </w:t>
      </w:r>
      <w:r w:rsidR="00644FE7" w:rsidRPr="001549D7">
        <w:rPr>
          <w:lang w:bidi="ar-SA"/>
        </w:rPr>
        <w:t>tri mesiace po</w:t>
      </w:r>
      <w:r w:rsidRPr="001549D7">
        <w:rPr>
          <w:lang w:bidi="ar-SA"/>
        </w:rPr>
        <w:t xml:space="preserve"> jej </w:t>
      </w:r>
      <w:r w:rsidR="00644FE7" w:rsidRPr="001549D7">
        <w:rPr>
          <w:lang w:bidi="ar-SA"/>
        </w:rPr>
        <w:t xml:space="preserve"> schválení ÚRSO v zmysle článku 6 ods. 3 písm</w:t>
      </w:r>
      <w:r w:rsidRPr="001549D7">
        <w:rPr>
          <w:lang w:bidi="ar-SA"/>
        </w:rPr>
        <w:t>.</w:t>
      </w:r>
      <w:r w:rsidR="00644FE7" w:rsidRPr="001549D7">
        <w:rPr>
          <w:lang w:bidi="ar-SA"/>
        </w:rPr>
        <w:t xml:space="preserve"> e) </w:t>
      </w:r>
      <w:r w:rsidR="00770181">
        <w:rPr>
          <w:lang w:bidi="ar-SA"/>
        </w:rPr>
        <w:t>N</w:t>
      </w:r>
      <w:r w:rsidRPr="001549D7">
        <w:rPr>
          <w:lang w:bidi="ar-SA"/>
        </w:rPr>
        <w:t xml:space="preserve">ariadenia </w:t>
      </w:r>
      <w:r w:rsidR="00644FE7" w:rsidRPr="001549D7">
        <w:rPr>
          <w:lang w:bidi="ar-SA"/>
        </w:rPr>
        <w:t xml:space="preserve">SOGL. </w:t>
      </w:r>
    </w:p>
    <w:sectPr w:rsidR="000B1BAD" w:rsidRPr="001549D7" w:rsidSect="00AD5E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C8F3" w14:textId="77777777" w:rsidR="00837C41" w:rsidRDefault="00837C41" w:rsidP="00EC70C9">
      <w:r>
        <w:separator/>
      </w:r>
    </w:p>
    <w:p w14:paraId="7CEDC0E1" w14:textId="77777777" w:rsidR="00837C41" w:rsidRDefault="00837C41" w:rsidP="00EC70C9"/>
    <w:p w14:paraId="480D7731" w14:textId="77777777" w:rsidR="00837C41" w:rsidRDefault="00837C41" w:rsidP="00EC70C9"/>
    <w:p w14:paraId="47A26B97" w14:textId="77777777" w:rsidR="00837C41" w:rsidRDefault="00837C41" w:rsidP="00EC70C9"/>
    <w:p w14:paraId="3D066310" w14:textId="77777777" w:rsidR="00837C41" w:rsidRDefault="00837C41" w:rsidP="00EC70C9"/>
    <w:p w14:paraId="3913232C" w14:textId="77777777" w:rsidR="00837C41" w:rsidRDefault="00837C41" w:rsidP="00EC70C9"/>
    <w:p w14:paraId="2E3917F7" w14:textId="77777777" w:rsidR="00837C41" w:rsidRDefault="00837C41" w:rsidP="00EC70C9"/>
    <w:p w14:paraId="5F59356C" w14:textId="77777777" w:rsidR="00837C41" w:rsidRDefault="00837C41"/>
  </w:endnote>
  <w:endnote w:type="continuationSeparator" w:id="0">
    <w:p w14:paraId="0906621A" w14:textId="77777777" w:rsidR="00837C41" w:rsidRDefault="00837C41" w:rsidP="00EC70C9">
      <w:r>
        <w:continuationSeparator/>
      </w:r>
    </w:p>
    <w:p w14:paraId="54EE3E02" w14:textId="77777777" w:rsidR="00837C41" w:rsidRDefault="00837C41" w:rsidP="00EC70C9"/>
    <w:p w14:paraId="52CDC644" w14:textId="77777777" w:rsidR="00837C41" w:rsidRDefault="00837C41" w:rsidP="00EC70C9"/>
    <w:p w14:paraId="3B3BFBFD" w14:textId="77777777" w:rsidR="00837C41" w:rsidRDefault="00837C41" w:rsidP="00EC70C9"/>
    <w:p w14:paraId="073EF839" w14:textId="77777777" w:rsidR="00837C41" w:rsidRDefault="00837C41" w:rsidP="00EC70C9"/>
    <w:p w14:paraId="15C557FC" w14:textId="77777777" w:rsidR="00837C41" w:rsidRDefault="00837C41" w:rsidP="00EC70C9"/>
    <w:p w14:paraId="4ECD17A4" w14:textId="77777777" w:rsidR="00837C41" w:rsidRDefault="00837C41" w:rsidP="00EC70C9"/>
    <w:p w14:paraId="2D10D827" w14:textId="77777777" w:rsidR="00837C41" w:rsidRDefault="00837C41"/>
  </w:endnote>
  <w:endnote w:type="continuationNotice" w:id="1">
    <w:p w14:paraId="3090C4ED" w14:textId="77777777" w:rsidR="00837C41" w:rsidRDefault="00837C41">
      <w:pPr>
        <w:spacing w:before="0" w:after="0" w:line="240" w:lineRule="auto"/>
      </w:pPr>
    </w:p>
    <w:p w14:paraId="3CDF8859" w14:textId="77777777" w:rsidR="00837C41" w:rsidRDefault="0083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362022" w:rsidRDefault="00362022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9B19AC0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362022" w:rsidRDefault="00362022" w:rsidP="00EC70C9"/>
  <w:p w14:paraId="0CBE5B6F" w14:textId="77777777" w:rsidR="00362022" w:rsidRDefault="00362022" w:rsidP="00EC70C9"/>
  <w:p w14:paraId="653298D2" w14:textId="77777777" w:rsidR="00362022" w:rsidRDefault="003620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54C1C1" w14:textId="656B49C0" w:rsidR="00131FEC" w:rsidRDefault="00131FEC" w:rsidP="00C221CA">
            <w:pPr>
              <w:pStyle w:val="Pta"/>
              <w:pBdr>
                <w:bottom w:val="single" w:sz="12" w:space="1" w:color="auto"/>
              </w:pBdr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</w:p>
          <w:p w14:paraId="1DBA38DB" w14:textId="0A68FCAD" w:rsidR="00AD5E93" w:rsidRDefault="00AD5E93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i/>
                <w:sz w:val="20"/>
              </w:rPr>
            </w:pPr>
            <w:r w:rsidRPr="00AD5E93">
              <w:rPr>
                <w:i/>
                <w:sz w:val="20"/>
              </w:rPr>
              <w:t>Návrh metodiky „Podmienky dovolených lineárnych zmien činného výkonu pre blok LFC SEPS podľa čl. 137 ods. 4 nariadenia SOGL“</w:t>
            </w:r>
          </w:p>
          <w:p w14:paraId="64D3545F" w14:textId="0C23DA44" w:rsidR="00362022" w:rsidRPr="00D84CB2" w:rsidRDefault="00C221CA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  <w:r w:rsidRPr="00D84CB2">
              <w:rPr>
                <w:sz w:val="20"/>
              </w:rPr>
              <w:tab/>
            </w:r>
            <w:r w:rsidR="00AD5E93">
              <w:rPr>
                <w:sz w:val="20"/>
              </w:rPr>
              <w:tab/>
            </w:r>
            <w:r w:rsidR="00362022" w:rsidRPr="00D84CB2">
              <w:rPr>
                <w:sz w:val="20"/>
              </w:rPr>
              <w:t xml:space="preserve">Strana </w:t>
            </w:r>
            <w:r w:rsidR="00362022" w:rsidRPr="00D84CB2">
              <w:rPr>
                <w:b/>
                <w:bCs/>
                <w:sz w:val="20"/>
              </w:rPr>
              <w:fldChar w:fldCharType="begin"/>
            </w:r>
            <w:r w:rsidR="00362022" w:rsidRPr="00D84CB2">
              <w:rPr>
                <w:b/>
                <w:bCs/>
                <w:sz w:val="20"/>
              </w:rPr>
              <w:instrText>PAGE</w:instrText>
            </w:r>
            <w:r w:rsidR="00362022" w:rsidRPr="00D84CB2">
              <w:rPr>
                <w:b/>
                <w:bCs/>
                <w:sz w:val="20"/>
              </w:rPr>
              <w:fldChar w:fldCharType="separate"/>
            </w:r>
            <w:r w:rsidR="00AB144D">
              <w:rPr>
                <w:b/>
                <w:bCs/>
                <w:noProof/>
                <w:sz w:val="20"/>
              </w:rPr>
              <w:t>5</w:t>
            </w:r>
            <w:r w:rsidR="00362022" w:rsidRPr="00D84CB2">
              <w:rPr>
                <w:b/>
                <w:bCs/>
                <w:sz w:val="20"/>
              </w:rPr>
              <w:fldChar w:fldCharType="end"/>
            </w:r>
            <w:r w:rsidR="00362022" w:rsidRPr="00D84CB2">
              <w:rPr>
                <w:sz w:val="20"/>
              </w:rPr>
              <w:t xml:space="preserve"> z </w:t>
            </w:r>
            <w:r w:rsidR="00362022" w:rsidRPr="00D84CB2">
              <w:rPr>
                <w:b/>
                <w:bCs/>
                <w:sz w:val="20"/>
              </w:rPr>
              <w:fldChar w:fldCharType="begin"/>
            </w:r>
            <w:r w:rsidR="00362022" w:rsidRPr="00D84CB2">
              <w:rPr>
                <w:b/>
                <w:bCs/>
                <w:sz w:val="20"/>
              </w:rPr>
              <w:instrText>NUMPAGES</w:instrText>
            </w:r>
            <w:r w:rsidR="00362022" w:rsidRPr="00D84CB2">
              <w:rPr>
                <w:b/>
                <w:bCs/>
                <w:sz w:val="20"/>
              </w:rPr>
              <w:fldChar w:fldCharType="separate"/>
            </w:r>
            <w:r w:rsidR="00AB144D">
              <w:rPr>
                <w:b/>
                <w:bCs/>
                <w:noProof/>
                <w:sz w:val="20"/>
              </w:rPr>
              <w:t>5</w:t>
            </w:r>
            <w:r w:rsidR="00362022" w:rsidRPr="00D84CB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EACF56" w14:textId="77777777" w:rsidR="00362022" w:rsidRDefault="003620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D4BE" w14:textId="77777777" w:rsidR="00837C41" w:rsidRDefault="00837C41" w:rsidP="00EC70C9">
      <w:bookmarkStart w:id="0" w:name="_Hlk497928779"/>
      <w:bookmarkEnd w:id="0"/>
      <w:r>
        <w:separator/>
      </w:r>
    </w:p>
    <w:p w14:paraId="633E38E4" w14:textId="77777777" w:rsidR="00837C41" w:rsidRDefault="00837C41"/>
  </w:footnote>
  <w:footnote w:type="continuationSeparator" w:id="0">
    <w:p w14:paraId="19C57521" w14:textId="77777777" w:rsidR="00837C41" w:rsidRDefault="00837C41" w:rsidP="00EC70C9">
      <w:r>
        <w:continuationSeparator/>
      </w:r>
    </w:p>
    <w:p w14:paraId="472B44CF" w14:textId="77777777" w:rsidR="00837C41" w:rsidRDefault="00837C41" w:rsidP="00EC70C9"/>
    <w:p w14:paraId="61FBA086" w14:textId="77777777" w:rsidR="00837C41" w:rsidRDefault="00837C41" w:rsidP="00EC70C9"/>
    <w:p w14:paraId="0D4A2108" w14:textId="77777777" w:rsidR="00837C41" w:rsidRDefault="00837C41" w:rsidP="00EC70C9"/>
    <w:p w14:paraId="6FE1D60B" w14:textId="77777777" w:rsidR="00837C41" w:rsidRDefault="00837C41" w:rsidP="00EC70C9"/>
    <w:p w14:paraId="45DD4F4B" w14:textId="77777777" w:rsidR="00837C41" w:rsidRDefault="00837C41" w:rsidP="00EC70C9"/>
    <w:p w14:paraId="5637CE48" w14:textId="77777777" w:rsidR="00837C41" w:rsidRDefault="00837C41" w:rsidP="00EC70C9"/>
    <w:p w14:paraId="35F1786C" w14:textId="77777777" w:rsidR="00837C41" w:rsidRDefault="00837C41"/>
  </w:footnote>
  <w:footnote w:type="continuationNotice" w:id="1">
    <w:p w14:paraId="6BF8E962" w14:textId="77777777" w:rsidR="00837C41" w:rsidRDefault="00837C41" w:rsidP="00EC70C9"/>
    <w:p w14:paraId="471E4153" w14:textId="77777777" w:rsidR="00837C41" w:rsidRDefault="00837C41" w:rsidP="00EC70C9"/>
    <w:p w14:paraId="6EBCD634" w14:textId="77777777" w:rsidR="00837C41" w:rsidRDefault="00837C41"/>
  </w:footnote>
  <w:footnote w:id="2">
    <w:p w14:paraId="215E9F04" w14:textId="253657FF" w:rsidR="005C2A59" w:rsidRDefault="005C2A5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C2A59">
        <w:t>Synchrónna oblasť Kontinentálna Európa pokrýva oblasť synchrónne prepojených prenosových sústav bývalého UCTE. Synchrónne prepojenie v takejto oblasti znamená, že jednotlivé prenosové sústavy sú medzi sebou vzájomne prepojené na základe rovnakej nominálnej frekvencie 50 Hz.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362022" w:rsidRDefault="00362022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362022" w:rsidRDefault="00362022" w:rsidP="00EC70C9"/>
  <w:p w14:paraId="7350D2C4" w14:textId="77777777" w:rsidR="00362022" w:rsidRDefault="003620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362022" w:rsidRPr="004C046D" w:rsidRDefault="00362022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362022" w:rsidRDefault="003620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0712" w14:textId="1F299F4F" w:rsidR="00E34D29" w:rsidRDefault="00E34D29" w:rsidP="00E34D2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67555"/>
    <w:multiLevelType w:val="hybridMultilevel"/>
    <w:tmpl w:val="FB2201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3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348"/>
    <w:multiLevelType w:val="hybridMultilevel"/>
    <w:tmpl w:val="E070DC6A"/>
    <w:lvl w:ilvl="0" w:tplc="9172532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9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1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37C7C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66782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4124"/>
    <w:rsid w:val="00084A14"/>
    <w:rsid w:val="00090A62"/>
    <w:rsid w:val="00090CAA"/>
    <w:rsid w:val="00091E98"/>
    <w:rsid w:val="0009217D"/>
    <w:rsid w:val="00093AE3"/>
    <w:rsid w:val="00093D91"/>
    <w:rsid w:val="0009447D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4C0B"/>
    <w:rsid w:val="000C5014"/>
    <w:rsid w:val="000C6740"/>
    <w:rsid w:val="000C7C95"/>
    <w:rsid w:val="000C7E2C"/>
    <w:rsid w:val="000D0F1B"/>
    <w:rsid w:val="000D47DB"/>
    <w:rsid w:val="000E1135"/>
    <w:rsid w:val="000E2F7B"/>
    <w:rsid w:val="000E3394"/>
    <w:rsid w:val="000E3ACF"/>
    <w:rsid w:val="000E45F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090"/>
    <w:rsid w:val="00111986"/>
    <w:rsid w:val="00114489"/>
    <w:rsid w:val="001153D3"/>
    <w:rsid w:val="00115D58"/>
    <w:rsid w:val="00120C6E"/>
    <w:rsid w:val="001236E4"/>
    <w:rsid w:val="00126FD9"/>
    <w:rsid w:val="00127823"/>
    <w:rsid w:val="00131FEC"/>
    <w:rsid w:val="00134B50"/>
    <w:rsid w:val="00142E09"/>
    <w:rsid w:val="00144BA2"/>
    <w:rsid w:val="00146584"/>
    <w:rsid w:val="00147204"/>
    <w:rsid w:val="00147C99"/>
    <w:rsid w:val="001518D1"/>
    <w:rsid w:val="00153DAC"/>
    <w:rsid w:val="001541E0"/>
    <w:rsid w:val="001549D7"/>
    <w:rsid w:val="00154DC6"/>
    <w:rsid w:val="00155061"/>
    <w:rsid w:val="00155CEB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4867"/>
    <w:rsid w:val="001F5411"/>
    <w:rsid w:val="001F7A5E"/>
    <w:rsid w:val="00200324"/>
    <w:rsid w:val="00204374"/>
    <w:rsid w:val="00205B9F"/>
    <w:rsid w:val="00206D81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4F2D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0F14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762DB"/>
    <w:rsid w:val="00281A5D"/>
    <w:rsid w:val="002848B2"/>
    <w:rsid w:val="0028724C"/>
    <w:rsid w:val="002900C8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5CDB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49E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E63"/>
    <w:rsid w:val="00353FDE"/>
    <w:rsid w:val="003546FB"/>
    <w:rsid w:val="00354844"/>
    <w:rsid w:val="00355172"/>
    <w:rsid w:val="00360F28"/>
    <w:rsid w:val="0036184C"/>
    <w:rsid w:val="00361CA2"/>
    <w:rsid w:val="00362022"/>
    <w:rsid w:val="00362B73"/>
    <w:rsid w:val="00363610"/>
    <w:rsid w:val="0036431A"/>
    <w:rsid w:val="00364A67"/>
    <w:rsid w:val="00364C9F"/>
    <w:rsid w:val="00365D80"/>
    <w:rsid w:val="003700B2"/>
    <w:rsid w:val="00373225"/>
    <w:rsid w:val="00376FCF"/>
    <w:rsid w:val="00381902"/>
    <w:rsid w:val="00381BBF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0376"/>
    <w:rsid w:val="003B14F3"/>
    <w:rsid w:val="003B3E28"/>
    <w:rsid w:val="003B605B"/>
    <w:rsid w:val="003C29A2"/>
    <w:rsid w:val="003C5503"/>
    <w:rsid w:val="003C69C0"/>
    <w:rsid w:val="003D0022"/>
    <w:rsid w:val="003D213A"/>
    <w:rsid w:val="003D2AAE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874"/>
    <w:rsid w:val="003F0D8F"/>
    <w:rsid w:val="003F1B5A"/>
    <w:rsid w:val="003F21E7"/>
    <w:rsid w:val="003F2AE3"/>
    <w:rsid w:val="003F4BBF"/>
    <w:rsid w:val="003F566A"/>
    <w:rsid w:val="003F6177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38E3"/>
    <w:rsid w:val="004C6268"/>
    <w:rsid w:val="004C6E2C"/>
    <w:rsid w:val="004C753E"/>
    <w:rsid w:val="004C75AF"/>
    <w:rsid w:val="004C79B0"/>
    <w:rsid w:val="004D5A96"/>
    <w:rsid w:val="004D6F4C"/>
    <w:rsid w:val="004E1AD3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051F"/>
    <w:rsid w:val="00521984"/>
    <w:rsid w:val="00521F4B"/>
    <w:rsid w:val="00522501"/>
    <w:rsid w:val="00524233"/>
    <w:rsid w:val="005245FF"/>
    <w:rsid w:val="00525D1C"/>
    <w:rsid w:val="0052703B"/>
    <w:rsid w:val="00530318"/>
    <w:rsid w:val="00532533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57D"/>
    <w:rsid w:val="00576B88"/>
    <w:rsid w:val="005774D3"/>
    <w:rsid w:val="00581E67"/>
    <w:rsid w:val="00582143"/>
    <w:rsid w:val="00582A2C"/>
    <w:rsid w:val="00583A4F"/>
    <w:rsid w:val="00583CA5"/>
    <w:rsid w:val="00585671"/>
    <w:rsid w:val="00590C07"/>
    <w:rsid w:val="005911A7"/>
    <w:rsid w:val="005914D1"/>
    <w:rsid w:val="0059185E"/>
    <w:rsid w:val="00594D04"/>
    <w:rsid w:val="0059523C"/>
    <w:rsid w:val="005A0F68"/>
    <w:rsid w:val="005A2106"/>
    <w:rsid w:val="005A309C"/>
    <w:rsid w:val="005A4D72"/>
    <w:rsid w:val="005A73A9"/>
    <w:rsid w:val="005B089E"/>
    <w:rsid w:val="005B37DB"/>
    <w:rsid w:val="005C02B8"/>
    <w:rsid w:val="005C1E05"/>
    <w:rsid w:val="005C2442"/>
    <w:rsid w:val="005C2A59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14B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0020"/>
    <w:rsid w:val="00622641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B98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583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1887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36087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BF5"/>
    <w:rsid w:val="00747F26"/>
    <w:rsid w:val="007516CC"/>
    <w:rsid w:val="00751AE3"/>
    <w:rsid w:val="00753332"/>
    <w:rsid w:val="00755227"/>
    <w:rsid w:val="0076093C"/>
    <w:rsid w:val="00760E28"/>
    <w:rsid w:val="0076194E"/>
    <w:rsid w:val="00761BFF"/>
    <w:rsid w:val="00763677"/>
    <w:rsid w:val="00764107"/>
    <w:rsid w:val="00764503"/>
    <w:rsid w:val="00764D60"/>
    <w:rsid w:val="0076712C"/>
    <w:rsid w:val="00770181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4E2D"/>
    <w:rsid w:val="007B53A6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3345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37C41"/>
    <w:rsid w:val="008402BA"/>
    <w:rsid w:val="00840DFE"/>
    <w:rsid w:val="00843762"/>
    <w:rsid w:val="00844005"/>
    <w:rsid w:val="0084410E"/>
    <w:rsid w:val="00844E06"/>
    <w:rsid w:val="0084640B"/>
    <w:rsid w:val="00846D12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13D0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7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4A4A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C7034"/>
    <w:rsid w:val="009D1F19"/>
    <w:rsid w:val="009D2883"/>
    <w:rsid w:val="009D3AB5"/>
    <w:rsid w:val="009D6E00"/>
    <w:rsid w:val="009E0AA3"/>
    <w:rsid w:val="009E239C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877"/>
    <w:rsid w:val="009F3A98"/>
    <w:rsid w:val="009F4D99"/>
    <w:rsid w:val="009F4F09"/>
    <w:rsid w:val="009F63D3"/>
    <w:rsid w:val="009F658B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599"/>
    <w:rsid w:val="00A226B0"/>
    <w:rsid w:val="00A31807"/>
    <w:rsid w:val="00A346AC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245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166"/>
    <w:rsid w:val="00A87FDB"/>
    <w:rsid w:val="00A95081"/>
    <w:rsid w:val="00AA0022"/>
    <w:rsid w:val="00AA0100"/>
    <w:rsid w:val="00AA1651"/>
    <w:rsid w:val="00AA2160"/>
    <w:rsid w:val="00AB144D"/>
    <w:rsid w:val="00AB3646"/>
    <w:rsid w:val="00AB386B"/>
    <w:rsid w:val="00AB7BB3"/>
    <w:rsid w:val="00AC1069"/>
    <w:rsid w:val="00AC3A52"/>
    <w:rsid w:val="00AC4693"/>
    <w:rsid w:val="00AC58F5"/>
    <w:rsid w:val="00AC5EB9"/>
    <w:rsid w:val="00AC6FE0"/>
    <w:rsid w:val="00AC78D2"/>
    <w:rsid w:val="00AC7E35"/>
    <w:rsid w:val="00AD1F3B"/>
    <w:rsid w:val="00AD3214"/>
    <w:rsid w:val="00AD44FB"/>
    <w:rsid w:val="00AD5E93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17F02"/>
    <w:rsid w:val="00B2046E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3D94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3EC6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0FDB"/>
    <w:rsid w:val="00C221CA"/>
    <w:rsid w:val="00C22CB8"/>
    <w:rsid w:val="00C23EA0"/>
    <w:rsid w:val="00C277E0"/>
    <w:rsid w:val="00C30E81"/>
    <w:rsid w:val="00C316D2"/>
    <w:rsid w:val="00C33742"/>
    <w:rsid w:val="00C33BA7"/>
    <w:rsid w:val="00C3537B"/>
    <w:rsid w:val="00C407C8"/>
    <w:rsid w:val="00C42317"/>
    <w:rsid w:val="00C4438B"/>
    <w:rsid w:val="00C4568F"/>
    <w:rsid w:val="00C46369"/>
    <w:rsid w:val="00C4729D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7624"/>
    <w:rsid w:val="00C708AD"/>
    <w:rsid w:val="00C70BEB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3066"/>
    <w:rsid w:val="00CB3CA8"/>
    <w:rsid w:val="00CB4B0F"/>
    <w:rsid w:val="00CB566B"/>
    <w:rsid w:val="00CB5BD7"/>
    <w:rsid w:val="00CB6448"/>
    <w:rsid w:val="00CB663C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D22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4CB2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763A"/>
    <w:rsid w:val="00DC7880"/>
    <w:rsid w:val="00DD0340"/>
    <w:rsid w:val="00DD059A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187"/>
    <w:rsid w:val="00E26437"/>
    <w:rsid w:val="00E3325B"/>
    <w:rsid w:val="00E34ADC"/>
    <w:rsid w:val="00E34D29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57ED7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954"/>
    <w:rsid w:val="00E84D11"/>
    <w:rsid w:val="00E85EAF"/>
    <w:rsid w:val="00E90178"/>
    <w:rsid w:val="00E906FF"/>
    <w:rsid w:val="00E932EB"/>
    <w:rsid w:val="00E9776C"/>
    <w:rsid w:val="00E97B1D"/>
    <w:rsid w:val="00EA0985"/>
    <w:rsid w:val="00EA0B71"/>
    <w:rsid w:val="00EA111A"/>
    <w:rsid w:val="00EA1428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A75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2AA"/>
    <w:rsid w:val="00EF152F"/>
    <w:rsid w:val="00EF173A"/>
    <w:rsid w:val="00EF2BAE"/>
    <w:rsid w:val="00EF3367"/>
    <w:rsid w:val="00F02105"/>
    <w:rsid w:val="00F04761"/>
    <w:rsid w:val="00F04EA9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617D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0AE"/>
    <w:rsid w:val="00F81248"/>
    <w:rsid w:val="00F81342"/>
    <w:rsid w:val="00F816B7"/>
    <w:rsid w:val="00F828E7"/>
    <w:rsid w:val="00F83417"/>
    <w:rsid w:val="00F83F04"/>
    <w:rsid w:val="00F84399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19E"/>
    <w:rsid w:val="00FB5BAB"/>
    <w:rsid w:val="00FB6F73"/>
    <w:rsid w:val="00FB7E42"/>
    <w:rsid w:val="00FB7F13"/>
    <w:rsid w:val="00FC00D7"/>
    <w:rsid w:val="00FC48C2"/>
    <w:rsid w:val="00FC525F"/>
    <w:rsid w:val="00FC577F"/>
    <w:rsid w:val="00FC64B7"/>
    <w:rsid w:val="00FC7F3D"/>
    <w:rsid w:val="00FD43D2"/>
    <w:rsid w:val="00FD5AFD"/>
    <w:rsid w:val="00FD60A5"/>
    <w:rsid w:val="00FD6297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BB3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4C38E3"/>
    <w:pPr>
      <w:keepNext/>
      <w:spacing w:before="240" w:after="160" w:line="240" w:lineRule="auto"/>
      <w:outlineLvl w:val="0"/>
    </w:pPr>
    <w:rPr>
      <w:rFonts w:eastAsia="Times New Roman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4C38E3"/>
    <w:rPr>
      <w:rFonts w:ascii="Calibri" w:eastAsia="Times New Roman" w:hAnsi="Calibr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F25393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5"/>
    <w:rsid w:val="000C76AF"/>
    <w:rsid w:val="000D136A"/>
    <w:rsid w:val="001310E1"/>
    <w:rsid w:val="002217CF"/>
    <w:rsid w:val="0024789B"/>
    <w:rsid w:val="002B006B"/>
    <w:rsid w:val="003426E8"/>
    <w:rsid w:val="003469CB"/>
    <w:rsid w:val="00363CD8"/>
    <w:rsid w:val="003B4068"/>
    <w:rsid w:val="003C091A"/>
    <w:rsid w:val="003C5AE7"/>
    <w:rsid w:val="00415E85"/>
    <w:rsid w:val="00424592"/>
    <w:rsid w:val="00491070"/>
    <w:rsid w:val="00491DE8"/>
    <w:rsid w:val="004E21B4"/>
    <w:rsid w:val="004E708B"/>
    <w:rsid w:val="00573336"/>
    <w:rsid w:val="005B390F"/>
    <w:rsid w:val="005B43C1"/>
    <w:rsid w:val="005E4C19"/>
    <w:rsid w:val="006637B1"/>
    <w:rsid w:val="006C714C"/>
    <w:rsid w:val="007658C3"/>
    <w:rsid w:val="00801825"/>
    <w:rsid w:val="008226A7"/>
    <w:rsid w:val="00823CAD"/>
    <w:rsid w:val="0092099E"/>
    <w:rsid w:val="00930E76"/>
    <w:rsid w:val="00967A46"/>
    <w:rsid w:val="009C4F4F"/>
    <w:rsid w:val="009D43C2"/>
    <w:rsid w:val="00A2262A"/>
    <w:rsid w:val="00AD013D"/>
    <w:rsid w:val="00B37EF8"/>
    <w:rsid w:val="00BB777C"/>
    <w:rsid w:val="00BD1846"/>
    <w:rsid w:val="00BD3108"/>
    <w:rsid w:val="00C85025"/>
    <w:rsid w:val="00D325BB"/>
    <w:rsid w:val="00D40175"/>
    <w:rsid w:val="00E14731"/>
    <w:rsid w:val="00E842B7"/>
    <w:rsid w:val="00E8663C"/>
    <w:rsid w:val="00E87B9B"/>
    <w:rsid w:val="00EE46E6"/>
    <w:rsid w:val="00EE5501"/>
    <w:rsid w:val="00EF15C7"/>
    <w:rsid w:val="00F25393"/>
    <w:rsid w:val="00F30F94"/>
    <w:rsid w:val="00F47BBC"/>
    <w:rsid w:val="00F60AE5"/>
    <w:rsid w:val="00F71336"/>
    <w:rsid w:val="00F758C0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  <w:style w:type="paragraph" w:customStyle="1" w:styleId="50CE315C21F14540B75C79FB5FAC1015">
    <w:name w:val="50CE315C21F14540B75C79FB5FAC1015"/>
    <w:rsid w:val="001310E1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B5E8FCA-3C4B-4F48-976D-0637BA3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853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Podmienky dovolených lineárnych zmien činného výkonu pre blok LFC SEPS podľa čl. 137 ods. 4 nariadenia Európskej komisie (EÚ) 2017/1485 z 2. augusta 2017, ktorým sa stanovuje usmernenie pre prevádzkovanie elektrizačnej prenosovej sústavy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dovolených lineárnych zmien činného výkonu pre blok LFC SEPS podľa čl. 137 ods. 4 nariadenia Európskej komisie (EÚ) 2017/1485 z 2. augusta 2017, ktorým sa stanovuje usmernenie pre prevádzkovanie elektrizačnej prenosovej sústavy</dc:title>
  <dc:subject>Návrh metodiky podľa čl. 119, ods. 1, písm. c) Nariadenia Komisie (EÚ) 2017/1485</dc:subject>
  <dc:creator>Studie poskytování PpS se zaměřením na SR a ČR</dc:creator>
  <cp:keywords/>
  <dc:description/>
  <cp:lastModifiedBy>SEPS</cp:lastModifiedBy>
  <cp:revision>65</cp:revision>
  <cp:lastPrinted>2018-08-02T08:35:00Z</cp:lastPrinted>
  <dcterms:created xsi:type="dcterms:W3CDTF">2018-07-26T08:59:00Z</dcterms:created>
  <dcterms:modified xsi:type="dcterms:W3CDTF">2018-08-08T07:25:00Z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