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9080F" w14:textId="3B6F2E11" w:rsidR="007755BD" w:rsidRPr="003F6FF2" w:rsidRDefault="00AF263D" w:rsidP="003F6FF2">
      <w:pPr>
        <w:jc w:val="center"/>
        <w:rPr>
          <w:rFonts w:ascii="Arial" w:hAnsi="Arial" w:cs="Arial"/>
          <w:b/>
          <w:sz w:val="24"/>
          <w:szCs w:val="24"/>
        </w:rPr>
      </w:pPr>
      <w:r>
        <w:rPr>
          <w:rFonts w:ascii="Arial" w:hAnsi="Arial" w:cs="Arial"/>
          <w:b/>
          <w:sz w:val="24"/>
          <w:szCs w:val="24"/>
        </w:rPr>
        <w:t xml:space="preserve">Zoznam a vyhodnotenie vznesených </w:t>
      </w:r>
      <w:r w:rsidR="006B6004" w:rsidRPr="003F6FF2">
        <w:rPr>
          <w:rFonts w:ascii="Arial" w:hAnsi="Arial" w:cs="Arial"/>
          <w:b/>
          <w:sz w:val="24"/>
          <w:szCs w:val="24"/>
        </w:rPr>
        <w:t>pripomienok</w:t>
      </w:r>
      <w:r w:rsidR="00C82D04" w:rsidRPr="003F6FF2">
        <w:rPr>
          <w:rFonts w:ascii="Arial" w:hAnsi="Arial" w:cs="Arial"/>
          <w:b/>
          <w:sz w:val="24"/>
          <w:szCs w:val="24"/>
        </w:rPr>
        <w:t xml:space="preserve"> </w:t>
      </w:r>
      <w:r w:rsidR="003A6102" w:rsidRPr="003F6FF2">
        <w:rPr>
          <w:rFonts w:ascii="Arial" w:hAnsi="Arial" w:cs="Arial"/>
          <w:b/>
          <w:sz w:val="24"/>
          <w:szCs w:val="24"/>
        </w:rPr>
        <w:t>z</w:t>
      </w:r>
      <w:r w:rsidR="00145189" w:rsidRPr="003F6FF2">
        <w:rPr>
          <w:rFonts w:ascii="Arial" w:hAnsi="Arial" w:cs="Arial"/>
          <w:b/>
          <w:sz w:val="24"/>
          <w:szCs w:val="24"/>
          <w:lang w:bidi="hi-IN"/>
        </w:rPr>
        <w:t> verejnej konzultácie</w:t>
      </w:r>
    </w:p>
    <w:tbl>
      <w:tblPr>
        <w:tblStyle w:val="Mriekatabuky"/>
        <w:tblW w:w="14596" w:type="dxa"/>
        <w:tblInd w:w="5" w:type="dxa"/>
        <w:tbl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insideH w:val="single" w:sz="4" w:space="0" w:color="806000" w:themeColor="accent4" w:themeShade="80"/>
          <w:insideV w:val="single" w:sz="4" w:space="0" w:color="806000" w:themeColor="accent4" w:themeShade="80"/>
        </w:tblBorders>
        <w:tblLayout w:type="fixed"/>
        <w:tblLook w:val="04A0" w:firstRow="1" w:lastRow="0" w:firstColumn="1" w:lastColumn="0" w:noHBand="0" w:noVBand="1"/>
      </w:tblPr>
      <w:tblGrid>
        <w:gridCol w:w="938"/>
        <w:gridCol w:w="3310"/>
        <w:gridCol w:w="2977"/>
        <w:gridCol w:w="5528"/>
        <w:gridCol w:w="1843"/>
      </w:tblGrid>
      <w:tr w:rsidR="008338EB" w:rsidRPr="0027105B" w14:paraId="23B168F5" w14:textId="77777777" w:rsidTr="00AF263D">
        <w:trPr>
          <w:trHeight w:val="402"/>
        </w:trPr>
        <w:tc>
          <w:tcPr>
            <w:tcW w:w="14596" w:type="dxa"/>
            <w:gridSpan w:val="5"/>
            <w:tcBorders>
              <w:top w:val="nil"/>
              <w:left w:val="nil"/>
              <w:bottom w:val="single" w:sz="4" w:space="0" w:color="806000" w:themeColor="accent4" w:themeShade="80"/>
              <w:right w:val="nil"/>
            </w:tcBorders>
            <w:shd w:val="clear" w:color="auto" w:fill="FFFFFF" w:themeFill="background1"/>
            <w:vAlign w:val="center"/>
          </w:tcPr>
          <w:p w14:paraId="2743B0AC" w14:textId="73116752" w:rsidR="00AF263D" w:rsidRDefault="008338EB" w:rsidP="00AF263D">
            <w:pPr>
              <w:jc w:val="center"/>
              <w:rPr>
                <w:rFonts w:ascii="Arial" w:hAnsi="Arial" w:cs="Arial"/>
                <w:sz w:val="24"/>
                <w:szCs w:val="24"/>
                <w:lang w:bidi="hi-IN"/>
              </w:rPr>
            </w:pPr>
            <w:r w:rsidRPr="002A34D7">
              <w:rPr>
                <w:rFonts w:ascii="Arial" w:hAnsi="Arial" w:cs="Arial"/>
                <w:sz w:val="24"/>
                <w:szCs w:val="24"/>
                <w:lang w:bidi="hi-IN"/>
              </w:rPr>
              <w:t>k návrh</w:t>
            </w:r>
            <w:r w:rsidR="00AF263D">
              <w:rPr>
                <w:rFonts w:ascii="Arial" w:hAnsi="Arial" w:cs="Arial"/>
                <w:sz w:val="24"/>
                <w:szCs w:val="24"/>
                <w:lang w:bidi="hi-IN"/>
              </w:rPr>
              <w:t>u</w:t>
            </w:r>
            <w:r w:rsidRPr="002A34D7">
              <w:rPr>
                <w:rFonts w:ascii="Arial" w:hAnsi="Arial" w:cs="Arial"/>
                <w:sz w:val="24"/>
                <w:szCs w:val="24"/>
                <w:lang w:bidi="hi-IN"/>
              </w:rPr>
              <w:t xml:space="preserve"> </w:t>
            </w:r>
            <w:r w:rsidR="007B5A03">
              <w:rPr>
                <w:rFonts w:ascii="Arial" w:hAnsi="Arial" w:cs="Arial"/>
                <w:sz w:val="24"/>
                <w:szCs w:val="24"/>
                <w:lang w:bidi="hi-IN"/>
              </w:rPr>
              <w:t xml:space="preserve">metodiky </w:t>
            </w:r>
          </w:p>
          <w:p w14:paraId="736FD0FD" w14:textId="6ADD798B" w:rsidR="008338EB" w:rsidRPr="004A7ED8" w:rsidRDefault="007B5A03" w:rsidP="00AF263D">
            <w:pPr>
              <w:jc w:val="center"/>
              <w:rPr>
                <w:rFonts w:ascii="Arial" w:hAnsi="Arial" w:cs="Arial"/>
                <w:lang w:bidi="hi-IN"/>
              </w:rPr>
            </w:pPr>
            <w:r w:rsidRPr="00B726FD">
              <w:rPr>
                <w:rFonts w:ascii="Arial" w:hAnsi="Arial" w:cs="Arial"/>
                <w:sz w:val="24"/>
                <w:szCs w:val="24"/>
              </w:rPr>
              <w:t>„</w:t>
            </w:r>
            <w:r w:rsidR="00B94ACA" w:rsidRPr="00B94ACA">
              <w:rPr>
                <w:rFonts w:ascii="Arial" w:hAnsi="Arial" w:cs="Arial"/>
                <w:sz w:val="24"/>
                <w:szCs w:val="24"/>
              </w:rPr>
              <w:t>Podmienky dovolených lineárnych zmien činného výkonu pre blok LFC SEPS podľa čl. 137 ods. 4 Nariadenia SOGL</w:t>
            </w:r>
            <w:r w:rsidRPr="00B726FD">
              <w:rPr>
                <w:rFonts w:ascii="Arial" w:hAnsi="Arial" w:cs="Arial"/>
                <w:sz w:val="24"/>
                <w:szCs w:val="24"/>
              </w:rPr>
              <w:t>“</w:t>
            </w:r>
            <w:r>
              <w:rPr>
                <w:rFonts w:ascii="Arial" w:hAnsi="Arial" w:cs="Arial"/>
                <w:sz w:val="24"/>
                <w:szCs w:val="24"/>
              </w:rPr>
              <w:t>.</w:t>
            </w:r>
          </w:p>
        </w:tc>
      </w:tr>
      <w:tr w:rsidR="00D53D3B" w:rsidRPr="0027105B" w14:paraId="0DE58A7B" w14:textId="77777777" w:rsidTr="00AF263D">
        <w:trPr>
          <w:trHeight w:val="1146"/>
        </w:trPr>
        <w:tc>
          <w:tcPr>
            <w:tcW w:w="938" w:type="dxa"/>
            <w:tcBorders>
              <w:top w:val="single" w:sz="4" w:space="0" w:color="806000" w:themeColor="accent4" w:themeShade="80"/>
            </w:tcBorders>
            <w:shd w:val="clear" w:color="auto" w:fill="44546A" w:themeFill="text2"/>
            <w:vAlign w:val="center"/>
          </w:tcPr>
          <w:p w14:paraId="1A12CA9D" w14:textId="58107363" w:rsidR="00C82D04" w:rsidRPr="0027105B" w:rsidRDefault="007B5A03" w:rsidP="00AF263D">
            <w:pPr>
              <w:jc w:val="center"/>
              <w:rPr>
                <w:rFonts w:ascii="Arial" w:hAnsi="Arial" w:cs="Arial"/>
                <w:b/>
                <w:color w:val="FFFFFF" w:themeColor="background1"/>
                <w:lang w:bidi="hi-IN"/>
              </w:rPr>
            </w:pPr>
            <w:r>
              <w:rPr>
                <w:rFonts w:ascii="Arial" w:hAnsi="Arial" w:cs="Arial"/>
                <w:b/>
                <w:color w:val="FFFFFF" w:themeColor="background1"/>
                <w:lang w:bidi="hi-IN"/>
              </w:rPr>
              <w:t>Čl.</w:t>
            </w:r>
          </w:p>
        </w:tc>
        <w:tc>
          <w:tcPr>
            <w:tcW w:w="3310" w:type="dxa"/>
            <w:tcBorders>
              <w:top w:val="single" w:sz="4" w:space="0" w:color="806000" w:themeColor="accent4" w:themeShade="80"/>
            </w:tcBorders>
            <w:shd w:val="clear" w:color="auto" w:fill="44546A" w:themeFill="text2"/>
            <w:vAlign w:val="center"/>
          </w:tcPr>
          <w:p w14:paraId="5DF3A9D9" w14:textId="1795A5DA" w:rsidR="00C82D04" w:rsidRPr="0027105B" w:rsidRDefault="00C82D04" w:rsidP="00AF263D">
            <w:pPr>
              <w:jc w:val="center"/>
              <w:rPr>
                <w:rFonts w:ascii="Arial" w:hAnsi="Arial" w:cs="Arial"/>
                <w:b/>
                <w:color w:val="FFFFFF" w:themeColor="background1"/>
                <w:lang w:bidi="hi-IN"/>
              </w:rPr>
            </w:pPr>
            <w:r w:rsidRPr="0027105B">
              <w:rPr>
                <w:rFonts w:ascii="Arial" w:hAnsi="Arial" w:cs="Arial"/>
                <w:b/>
                <w:color w:val="FFFFFF" w:themeColor="background1"/>
                <w:lang w:bidi="hi-IN"/>
              </w:rPr>
              <w:t xml:space="preserve">Znenie </w:t>
            </w:r>
            <w:r>
              <w:rPr>
                <w:rFonts w:ascii="Arial" w:hAnsi="Arial" w:cs="Arial"/>
                <w:b/>
                <w:color w:val="FFFFFF" w:themeColor="background1"/>
                <w:lang w:bidi="hi-IN"/>
              </w:rPr>
              <w:t>pripomienky</w:t>
            </w:r>
          </w:p>
        </w:tc>
        <w:tc>
          <w:tcPr>
            <w:tcW w:w="2977" w:type="dxa"/>
            <w:tcBorders>
              <w:top w:val="single" w:sz="4" w:space="0" w:color="806000" w:themeColor="accent4" w:themeShade="80"/>
            </w:tcBorders>
            <w:shd w:val="clear" w:color="auto" w:fill="44546A" w:themeFill="text2"/>
            <w:vAlign w:val="center"/>
          </w:tcPr>
          <w:p w14:paraId="67C7C83D" w14:textId="080B889A" w:rsidR="00C82D04" w:rsidRPr="0027105B" w:rsidRDefault="00C82D04" w:rsidP="00AF263D">
            <w:pPr>
              <w:jc w:val="center"/>
              <w:rPr>
                <w:rFonts w:ascii="Arial" w:hAnsi="Arial" w:cs="Arial"/>
                <w:b/>
                <w:color w:val="FFFFFF" w:themeColor="background1"/>
                <w:lang w:bidi="hi-IN"/>
              </w:rPr>
            </w:pPr>
            <w:r>
              <w:rPr>
                <w:rFonts w:ascii="Arial" w:hAnsi="Arial" w:cs="Arial"/>
                <w:b/>
                <w:color w:val="FFFFFF" w:themeColor="background1"/>
                <w:lang w:bidi="hi-IN"/>
              </w:rPr>
              <w:t>Odôvodnenie pripomienky</w:t>
            </w:r>
          </w:p>
        </w:tc>
        <w:tc>
          <w:tcPr>
            <w:tcW w:w="5528" w:type="dxa"/>
            <w:tcBorders>
              <w:top w:val="single" w:sz="4" w:space="0" w:color="806000" w:themeColor="accent4" w:themeShade="80"/>
            </w:tcBorders>
            <w:shd w:val="clear" w:color="auto" w:fill="44546A" w:themeFill="text2"/>
            <w:vAlign w:val="center"/>
          </w:tcPr>
          <w:p w14:paraId="7659C744" w14:textId="3A151CF8" w:rsidR="00C82D04" w:rsidRPr="0027105B" w:rsidRDefault="00C82D04" w:rsidP="00AF263D">
            <w:pPr>
              <w:jc w:val="center"/>
              <w:rPr>
                <w:rFonts w:ascii="Arial" w:hAnsi="Arial" w:cs="Arial"/>
                <w:b/>
                <w:color w:val="FFFFFF" w:themeColor="background1"/>
                <w:lang w:bidi="hi-IN"/>
              </w:rPr>
            </w:pPr>
            <w:r>
              <w:rPr>
                <w:rFonts w:ascii="Arial" w:hAnsi="Arial" w:cs="Arial"/>
                <w:b/>
                <w:color w:val="FFFFFF" w:themeColor="background1"/>
                <w:lang w:bidi="hi-IN"/>
              </w:rPr>
              <w:t>Odpoveď SEPS</w:t>
            </w:r>
            <w:bookmarkStart w:id="0" w:name="_GoBack"/>
            <w:bookmarkEnd w:id="0"/>
          </w:p>
        </w:tc>
        <w:tc>
          <w:tcPr>
            <w:tcW w:w="1843" w:type="dxa"/>
            <w:tcBorders>
              <w:top w:val="single" w:sz="4" w:space="0" w:color="806000" w:themeColor="accent4" w:themeShade="80"/>
            </w:tcBorders>
            <w:shd w:val="clear" w:color="auto" w:fill="44546A" w:themeFill="text2"/>
            <w:vAlign w:val="center"/>
          </w:tcPr>
          <w:p w14:paraId="6D3E6640" w14:textId="2DD573EE" w:rsidR="00C82D04" w:rsidRPr="0027105B" w:rsidRDefault="00C82D04" w:rsidP="00AF263D">
            <w:pPr>
              <w:jc w:val="center"/>
              <w:rPr>
                <w:rFonts w:ascii="Arial" w:hAnsi="Arial" w:cs="Arial"/>
                <w:b/>
                <w:color w:val="FFFFFF" w:themeColor="background1"/>
                <w:lang w:bidi="hi-IN"/>
              </w:rPr>
            </w:pPr>
            <w:r w:rsidRPr="00C82D04">
              <w:rPr>
                <w:rFonts w:ascii="Arial" w:hAnsi="Arial" w:cs="Arial"/>
                <w:b/>
                <w:color w:val="FFFFFF" w:themeColor="background1"/>
                <w:lang w:bidi="hi-IN"/>
              </w:rPr>
              <w:t>Zapracovanie do návrhu podmienok</w:t>
            </w:r>
          </w:p>
        </w:tc>
      </w:tr>
      <w:tr w:rsidR="00192F9A" w:rsidRPr="0027105B" w14:paraId="4E8AFC7B" w14:textId="77777777" w:rsidTr="00AF263D">
        <w:tc>
          <w:tcPr>
            <w:tcW w:w="938" w:type="dxa"/>
          </w:tcPr>
          <w:p w14:paraId="6BC94951" w14:textId="3ED0A381" w:rsidR="00192F9A" w:rsidRPr="004A7ED8" w:rsidRDefault="007952AC" w:rsidP="007B5A03">
            <w:pPr>
              <w:jc w:val="center"/>
              <w:rPr>
                <w:rFonts w:ascii="Arial" w:hAnsi="Arial" w:cs="Arial"/>
                <w:b/>
                <w:sz w:val="20"/>
                <w:szCs w:val="20"/>
                <w:lang w:bidi="hi-IN"/>
              </w:rPr>
            </w:pPr>
            <w:r>
              <w:rPr>
                <w:rFonts w:ascii="Arial" w:hAnsi="Arial" w:cs="Arial"/>
                <w:b/>
                <w:sz w:val="20"/>
                <w:szCs w:val="20"/>
                <w:lang w:bidi="hi-IN"/>
              </w:rPr>
              <w:t>Všetky články</w:t>
            </w:r>
          </w:p>
        </w:tc>
        <w:tc>
          <w:tcPr>
            <w:tcW w:w="3310" w:type="dxa"/>
          </w:tcPr>
          <w:p w14:paraId="240E89D6" w14:textId="6E468EC4" w:rsidR="00192F9A" w:rsidRPr="007B5A03" w:rsidRDefault="007952AC" w:rsidP="004367C1">
            <w:pPr>
              <w:rPr>
                <w:rFonts w:ascii="Arial" w:hAnsi="Arial" w:cs="Arial"/>
                <w:i/>
                <w:sz w:val="20"/>
                <w:szCs w:val="20"/>
                <w:lang w:bidi="hi-IN"/>
              </w:rPr>
            </w:pPr>
            <w:r w:rsidRPr="007952AC">
              <w:rPr>
                <w:rFonts w:ascii="Arial" w:hAnsi="Arial" w:cs="Arial"/>
                <w:i/>
                <w:sz w:val="20"/>
              </w:rPr>
              <w:t>Chýba špecifikácia pojmov „jednotka na výrobu elektriny“, „výrobné zariadenie“, „skupina zariadení“ a vzťahov medzi nimi.</w:t>
            </w:r>
          </w:p>
        </w:tc>
        <w:tc>
          <w:tcPr>
            <w:tcW w:w="2977" w:type="dxa"/>
          </w:tcPr>
          <w:p w14:paraId="5CCA8F50" w14:textId="4CF00A4E" w:rsidR="00C82D04" w:rsidRPr="004A7ED8" w:rsidRDefault="007952AC" w:rsidP="000266AA">
            <w:pPr>
              <w:pStyle w:val="Zkladntext"/>
              <w:rPr>
                <w:rFonts w:ascii="Arial" w:hAnsi="Arial" w:cs="Arial"/>
                <w:szCs w:val="20"/>
                <w:lang w:bidi="hi-IN"/>
              </w:rPr>
            </w:pPr>
            <w:r w:rsidRPr="007952AC">
              <w:rPr>
                <w:rFonts w:ascii="Arial" w:hAnsi="Arial" w:cs="Arial"/>
              </w:rPr>
              <w:t>Nie je jasné</w:t>
            </w:r>
            <w:r w:rsidR="001B2DAE">
              <w:rPr>
                <w:rFonts w:ascii="Arial" w:hAnsi="Arial" w:cs="Arial"/>
              </w:rPr>
              <w:t>,</w:t>
            </w:r>
            <w:r w:rsidRPr="007952AC">
              <w:rPr>
                <w:rFonts w:ascii="Arial" w:hAnsi="Arial" w:cs="Arial"/>
              </w:rPr>
              <w:t xml:space="preserve"> pod ktorý pojem zaradiť generátor, elektráreň, prípadne fiktívny alebo virtuálny blok.</w:t>
            </w:r>
          </w:p>
        </w:tc>
        <w:tc>
          <w:tcPr>
            <w:tcW w:w="5528" w:type="dxa"/>
          </w:tcPr>
          <w:p w14:paraId="61E8CF38" w14:textId="27616262" w:rsidR="00192F9A" w:rsidRPr="00954185" w:rsidRDefault="007952AC" w:rsidP="000329AF">
            <w:pPr>
              <w:pStyle w:val="Zkladntext"/>
              <w:ind w:left="179"/>
              <w:rPr>
                <w:rFonts w:ascii="Arial" w:hAnsi="Arial" w:cs="Arial"/>
                <w:szCs w:val="20"/>
              </w:rPr>
            </w:pPr>
            <w:r w:rsidRPr="007952AC">
              <w:rPr>
                <w:rFonts w:ascii="Arial" w:hAnsi="Arial" w:cs="Arial"/>
                <w:szCs w:val="20"/>
                <w:lang w:bidi="hi-IN"/>
              </w:rPr>
              <w:t>Definície sú v definíciách SOGL č. 3 (10) a (11).</w:t>
            </w:r>
          </w:p>
        </w:tc>
        <w:tc>
          <w:tcPr>
            <w:tcW w:w="1843" w:type="dxa"/>
          </w:tcPr>
          <w:p w14:paraId="3B628B69" w14:textId="75988202" w:rsidR="00192F9A" w:rsidRPr="004A7ED8" w:rsidRDefault="00192F9A" w:rsidP="007952AC">
            <w:pPr>
              <w:pStyle w:val="Zkladntext"/>
              <w:jc w:val="center"/>
              <w:rPr>
                <w:rFonts w:ascii="Arial" w:hAnsi="Arial" w:cs="Arial"/>
                <w:szCs w:val="20"/>
              </w:rPr>
            </w:pPr>
            <w:r w:rsidRPr="004A7ED8">
              <w:rPr>
                <w:rFonts w:ascii="Arial" w:hAnsi="Arial" w:cs="Arial"/>
                <w:szCs w:val="20"/>
              </w:rPr>
              <w:t>[</w:t>
            </w:r>
            <w:r w:rsidR="007952AC">
              <w:rPr>
                <w:rFonts w:ascii="Arial" w:hAnsi="Arial" w:cs="Arial"/>
                <w:szCs w:val="20"/>
              </w:rPr>
              <w:t>NIE</w:t>
            </w:r>
            <w:r w:rsidRPr="004A7ED8">
              <w:rPr>
                <w:rFonts w:ascii="Arial" w:hAnsi="Arial" w:cs="Arial"/>
                <w:szCs w:val="20"/>
              </w:rPr>
              <w:t>]</w:t>
            </w:r>
          </w:p>
        </w:tc>
      </w:tr>
      <w:tr w:rsidR="00A1535B" w:rsidRPr="0027105B" w14:paraId="23722074" w14:textId="77777777" w:rsidTr="00AF263D">
        <w:tc>
          <w:tcPr>
            <w:tcW w:w="938" w:type="dxa"/>
          </w:tcPr>
          <w:p w14:paraId="47D4BF4A" w14:textId="70120EDF" w:rsidR="00A1535B" w:rsidRPr="00BE73A5" w:rsidRDefault="007952AC" w:rsidP="007B5A03">
            <w:pPr>
              <w:jc w:val="center"/>
              <w:rPr>
                <w:rFonts w:ascii="Arial" w:hAnsi="Arial" w:cs="Arial"/>
                <w:b/>
                <w:sz w:val="20"/>
                <w:szCs w:val="20"/>
                <w:lang w:bidi="hi-IN"/>
              </w:rPr>
            </w:pPr>
            <w:r w:rsidRPr="007952AC">
              <w:rPr>
                <w:rFonts w:ascii="Arial" w:hAnsi="Arial" w:cs="Arial"/>
                <w:b/>
                <w:sz w:val="20"/>
                <w:szCs w:val="20"/>
                <w:lang w:bidi="hi-IN"/>
              </w:rPr>
              <w:t>Článok 4</w:t>
            </w:r>
          </w:p>
        </w:tc>
        <w:tc>
          <w:tcPr>
            <w:tcW w:w="3310" w:type="dxa"/>
          </w:tcPr>
          <w:p w14:paraId="47BB5F09" w14:textId="60562918" w:rsidR="00A1535B" w:rsidRPr="00954185" w:rsidDel="00C82D04" w:rsidRDefault="007952AC" w:rsidP="004367C1">
            <w:pPr>
              <w:rPr>
                <w:rFonts w:ascii="Arial" w:hAnsi="Arial" w:cs="Arial"/>
                <w:i/>
                <w:sz w:val="20"/>
                <w:szCs w:val="20"/>
                <w:lang w:bidi="hi-IN"/>
              </w:rPr>
            </w:pPr>
            <w:r w:rsidRPr="007952AC">
              <w:rPr>
                <w:rFonts w:ascii="Arial" w:hAnsi="Arial" w:cs="Arial"/>
                <w:i/>
                <w:sz w:val="20"/>
                <w:lang w:bidi="hi-IN"/>
              </w:rPr>
              <w:t>Obmedzenie jednotlivej skokovej zmeny maximálne do výšky 25% Pmax je nedostatočné.</w:t>
            </w:r>
          </w:p>
        </w:tc>
        <w:tc>
          <w:tcPr>
            <w:tcW w:w="2977" w:type="dxa"/>
          </w:tcPr>
          <w:p w14:paraId="7A39BE59" w14:textId="2EB7FBFC" w:rsidR="00A1535B" w:rsidRPr="00BE73A5" w:rsidDel="00C82D04" w:rsidRDefault="007952AC" w:rsidP="001B2DAE">
            <w:pPr>
              <w:pStyle w:val="Zkladntext"/>
              <w:rPr>
                <w:rFonts w:ascii="Arial" w:hAnsi="Arial" w:cs="Arial"/>
                <w:szCs w:val="20"/>
                <w:lang w:bidi="hi-IN"/>
              </w:rPr>
            </w:pPr>
            <w:r w:rsidRPr="007952AC">
              <w:rPr>
                <w:rFonts w:ascii="Arial" w:eastAsiaTheme="majorEastAsia" w:hAnsi="Arial" w:cs="Arial"/>
                <w:iCs/>
                <w:lang w:bidi="hi-IN"/>
                <w14:ligatures w14:val="standard"/>
              </w:rPr>
              <w:t>Pri nábehu generátora z</w:t>
            </w:r>
            <w:r w:rsidR="001B2DAE">
              <w:rPr>
                <w:rFonts w:ascii="Arial" w:eastAsiaTheme="majorEastAsia" w:hAnsi="Arial" w:cs="Arial"/>
                <w:iCs/>
                <w:lang w:bidi="hi-IN"/>
                <w14:ligatures w14:val="standard"/>
              </w:rPr>
              <w:t> </w:t>
            </w:r>
            <w:r w:rsidRPr="007952AC">
              <w:rPr>
                <w:rFonts w:ascii="Arial" w:eastAsiaTheme="majorEastAsia" w:hAnsi="Arial" w:cs="Arial"/>
                <w:iCs/>
                <w:lang w:bidi="hi-IN"/>
                <w14:ligatures w14:val="standard"/>
              </w:rPr>
              <w:t>nulového výkonu pri prifázovaní je možné nabehnúť minimálne na 50% Pmax a viac. V prípade jeho nábehu do nového fiktívneho bloku dôjde k porušeniu podmienky.</w:t>
            </w:r>
          </w:p>
        </w:tc>
        <w:tc>
          <w:tcPr>
            <w:tcW w:w="5528" w:type="dxa"/>
          </w:tcPr>
          <w:p w14:paraId="1448539F" w14:textId="045CD0BB" w:rsidR="00954185" w:rsidRPr="00BE73A5" w:rsidRDefault="007952AC" w:rsidP="000329AF">
            <w:pPr>
              <w:pStyle w:val="Zkladntext"/>
              <w:ind w:left="179"/>
              <w:rPr>
                <w:rFonts w:ascii="Arial" w:hAnsi="Arial" w:cs="Arial"/>
                <w:szCs w:val="20"/>
                <w:lang w:bidi="hi-IN"/>
              </w:rPr>
            </w:pPr>
            <w:r w:rsidRPr="007952AC">
              <w:rPr>
                <w:rFonts w:ascii="Arial" w:hAnsi="Arial" w:cs="Arial"/>
                <w:szCs w:val="20"/>
                <w:lang w:bidi="hi-IN"/>
              </w:rPr>
              <w:t>V prípade, že všetky generátory fiktívneho bloku sú pripojené do jedného spoločného miesta pripojenia, tak za Pmax sa považuje súčet Pmax týchto generátorov. Výška 25% je z tohto hľadiska dostatočná.</w:t>
            </w:r>
          </w:p>
        </w:tc>
        <w:tc>
          <w:tcPr>
            <w:tcW w:w="1843" w:type="dxa"/>
          </w:tcPr>
          <w:p w14:paraId="35BCB4D5" w14:textId="24B0AB22" w:rsidR="00A1535B" w:rsidRPr="00BE73A5" w:rsidRDefault="00162CF3" w:rsidP="007952AC">
            <w:pPr>
              <w:pStyle w:val="Zkladntext"/>
              <w:jc w:val="center"/>
              <w:rPr>
                <w:rFonts w:ascii="Arial" w:hAnsi="Arial" w:cs="Arial"/>
                <w:szCs w:val="20"/>
              </w:rPr>
            </w:pPr>
            <w:r w:rsidRPr="00D15B17">
              <w:rPr>
                <w:rFonts w:ascii="Arial" w:hAnsi="Arial" w:cs="Arial"/>
                <w:szCs w:val="20"/>
              </w:rPr>
              <w:t>[</w:t>
            </w:r>
            <w:r w:rsidR="007952AC">
              <w:rPr>
                <w:rFonts w:ascii="Arial" w:hAnsi="Arial" w:cs="Arial"/>
                <w:szCs w:val="20"/>
              </w:rPr>
              <w:t>NIE</w:t>
            </w:r>
            <w:r w:rsidRPr="00D15B17">
              <w:rPr>
                <w:rFonts w:ascii="Arial" w:hAnsi="Arial" w:cs="Arial"/>
                <w:szCs w:val="20"/>
              </w:rPr>
              <w:t>]</w:t>
            </w:r>
          </w:p>
        </w:tc>
      </w:tr>
      <w:tr w:rsidR="00A1535B" w:rsidRPr="0027105B" w14:paraId="5DA44F32" w14:textId="77777777" w:rsidTr="00AF263D">
        <w:tc>
          <w:tcPr>
            <w:tcW w:w="938" w:type="dxa"/>
          </w:tcPr>
          <w:p w14:paraId="68626BA0" w14:textId="5A268534" w:rsidR="00A1535B" w:rsidRPr="004A7ED8" w:rsidRDefault="007952AC" w:rsidP="00954185">
            <w:pPr>
              <w:jc w:val="center"/>
              <w:rPr>
                <w:rFonts w:ascii="Arial" w:hAnsi="Arial" w:cs="Arial"/>
                <w:b/>
                <w:sz w:val="20"/>
                <w:szCs w:val="20"/>
                <w:lang w:bidi="hi-IN"/>
              </w:rPr>
            </w:pPr>
            <w:r w:rsidRPr="007952AC">
              <w:rPr>
                <w:rFonts w:ascii="Arial" w:hAnsi="Arial" w:cs="Arial"/>
                <w:b/>
                <w:sz w:val="20"/>
                <w:szCs w:val="20"/>
                <w:lang w:bidi="hi-IN"/>
              </w:rPr>
              <w:t>Článok 4</w:t>
            </w:r>
          </w:p>
        </w:tc>
        <w:tc>
          <w:tcPr>
            <w:tcW w:w="3310" w:type="dxa"/>
          </w:tcPr>
          <w:p w14:paraId="22C7D5A8" w14:textId="2386E972" w:rsidR="00A1535B" w:rsidRPr="00954185" w:rsidRDefault="007952AC" w:rsidP="004367C1">
            <w:pPr>
              <w:rPr>
                <w:rFonts w:ascii="Arial" w:hAnsi="Arial" w:cs="Arial"/>
                <w:i/>
                <w:sz w:val="20"/>
                <w:szCs w:val="20"/>
                <w:lang w:bidi="hi-IN"/>
              </w:rPr>
            </w:pPr>
            <w:r w:rsidRPr="007952AC">
              <w:rPr>
                <w:rFonts w:ascii="Arial" w:hAnsi="Arial" w:cs="Arial"/>
                <w:i/>
                <w:sz w:val="20"/>
                <w:lang w:bidi="hi-IN"/>
              </w:rPr>
              <w:t>Akým spôsobom budú subjektu zúčtovania kompenzované vyvolané náklady na odchýlku pri lineárnych zmenách činného výkonu jednotiek na výrobu elektriny?</w:t>
            </w:r>
          </w:p>
        </w:tc>
        <w:tc>
          <w:tcPr>
            <w:tcW w:w="2977" w:type="dxa"/>
          </w:tcPr>
          <w:p w14:paraId="675C6386" w14:textId="651DB2E6" w:rsidR="00A1535B" w:rsidRPr="004A7ED8" w:rsidRDefault="006B7C18" w:rsidP="000266AA">
            <w:pPr>
              <w:pStyle w:val="Zkladntext"/>
              <w:rPr>
                <w:rFonts w:ascii="Arial" w:hAnsi="Arial" w:cs="Arial"/>
                <w:szCs w:val="20"/>
                <w:lang w:bidi="hi-IN"/>
              </w:rPr>
            </w:pPr>
            <w:r w:rsidRPr="006B7C18">
              <w:rPr>
                <w:rFonts w:ascii="Arial" w:eastAsiaTheme="majorEastAsia" w:hAnsi="Arial" w:cs="Arial"/>
                <w:iCs/>
                <w:lang w:bidi="hi-IN"/>
                <w14:ligatures w14:val="standard"/>
              </w:rPr>
              <w:t>Lineárne zmeny činného výkonu jednotiek na výrobu elektriny môžu spôsobovať dodatočnú odchýlku subjektu zúčtovania.</w:t>
            </w:r>
          </w:p>
        </w:tc>
        <w:tc>
          <w:tcPr>
            <w:tcW w:w="5528" w:type="dxa"/>
          </w:tcPr>
          <w:p w14:paraId="5E62EF2F" w14:textId="0D7AA567" w:rsidR="007F0CA5" w:rsidRPr="007F0CA5" w:rsidRDefault="006B7C18" w:rsidP="000329AF">
            <w:pPr>
              <w:pStyle w:val="Zkladntext"/>
              <w:ind w:left="179"/>
              <w:rPr>
                <w:rFonts w:ascii="Arial" w:hAnsi="Arial" w:cs="Arial"/>
                <w:szCs w:val="20"/>
                <w:lang w:bidi="hi-IN"/>
              </w:rPr>
            </w:pPr>
            <w:r w:rsidRPr="006B7C18">
              <w:rPr>
                <w:rFonts w:ascii="Arial" w:hAnsi="Arial" w:cs="Arial"/>
                <w:szCs w:val="20"/>
                <w:lang w:bidi="hi-IN"/>
              </w:rPr>
              <w:t xml:space="preserve">SO GL ani EB GL nepožadujú pri lineárnych zmenách špeciálne zohľadnenie pri zúčtovaní odchýlok. Na základe našich analýz dopad zavedenia lineárnych zmien minimálny. Opatrenie je technicky orientované s cieľom dosiahnuť zlepšenie bezpečnosti a spoľahlivosti prevádzky synchrónnej oblasti Kontinentálna Európa a bloku LFC SEPS. Pri zmene výkonu zariadenia vzniká vždy odchýlka či s lineárnymi zmenami alebo bez nich. Náš predložený návrh ponecháva prevádzkovateľovi výrobnej jednotky alebo skupiny jednotiek pomerne veľkú </w:t>
            </w:r>
            <w:r w:rsidRPr="006B7C18">
              <w:rPr>
                <w:rFonts w:ascii="Arial" w:hAnsi="Arial" w:cs="Arial"/>
                <w:szCs w:val="20"/>
                <w:lang w:bidi="hi-IN"/>
              </w:rPr>
              <w:lastRenderedPageBreak/>
              <w:t xml:space="preserve">časovú flexibilitu na  vykonanie zmeny výkonu, keď našim jediným časovým obmedzením je aby minimálny čas medzi jednotlivými skokovými zmenami bol dlhší ako 2,5 minúty. Táto možnosť dáva dostatočný priestor, aby si prevádzkovateľ rozložil zmenu výkonu tak, aby nemala  negatívny dopad na jeho odchýlku.  </w:t>
            </w:r>
          </w:p>
        </w:tc>
        <w:tc>
          <w:tcPr>
            <w:tcW w:w="1843" w:type="dxa"/>
          </w:tcPr>
          <w:p w14:paraId="147EC04F" w14:textId="5CC9B2C9" w:rsidR="00A1535B" w:rsidRPr="004A7ED8" w:rsidRDefault="00D4331A" w:rsidP="006B7C18">
            <w:pPr>
              <w:pStyle w:val="Zkladntext"/>
              <w:jc w:val="center"/>
              <w:rPr>
                <w:rFonts w:ascii="Arial" w:hAnsi="Arial" w:cs="Arial"/>
                <w:szCs w:val="20"/>
              </w:rPr>
            </w:pPr>
            <w:r w:rsidRPr="004A7ED8">
              <w:rPr>
                <w:rFonts w:ascii="Arial" w:hAnsi="Arial" w:cs="Arial"/>
                <w:szCs w:val="20"/>
              </w:rPr>
              <w:lastRenderedPageBreak/>
              <w:t>[</w:t>
            </w:r>
            <w:r w:rsidR="006B7C18">
              <w:rPr>
                <w:rFonts w:ascii="Arial" w:hAnsi="Arial" w:cs="Arial"/>
                <w:szCs w:val="20"/>
              </w:rPr>
              <w:t>NIE</w:t>
            </w:r>
            <w:r w:rsidRPr="004A7ED8">
              <w:rPr>
                <w:rFonts w:ascii="Arial" w:hAnsi="Arial" w:cs="Arial"/>
                <w:szCs w:val="20"/>
              </w:rPr>
              <w:t>]</w:t>
            </w:r>
          </w:p>
        </w:tc>
      </w:tr>
      <w:tr w:rsidR="004A7ED8" w:rsidRPr="0027105B" w14:paraId="7B272EC7" w14:textId="77777777" w:rsidTr="00AF263D">
        <w:tc>
          <w:tcPr>
            <w:tcW w:w="938" w:type="dxa"/>
          </w:tcPr>
          <w:p w14:paraId="43053AEE" w14:textId="56968B2D" w:rsidR="004A7ED8" w:rsidRPr="006B6004" w:rsidRDefault="00D32928" w:rsidP="00D32928">
            <w:pPr>
              <w:jc w:val="center"/>
              <w:rPr>
                <w:rFonts w:ascii="Arial" w:hAnsi="Arial" w:cs="Arial"/>
                <w:b/>
                <w:sz w:val="20"/>
                <w:szCs w:val="20"/>
              </w:rPr>
            </w:pPr>
            <w:r>
              <w:rPr>
                <w:rFonts w:ascii="Arial" w:hAnsi="Arial" w:cs="Arial"/>
                <w:b/>
                <w:sz w:val="20"/>
                <w:szCs w:val="20"/>
                <w:lang w:bidi="hi-IN"/>
              </w:rPr>
              <w:t>Článok 3</w:t>
            </w:r>
          </w:p>
        </w:tc>
        <w:tc>
          <w:tcPr>
            <w:tcW w:w="3310" w:type="dxa"/>
          </w:tcPr>
          <w:p w14:paraId="2FBD1681" w14:textId="45A7199F" w:rsidR="001E1D27" w:rsidRPr="001E1D27" w:rsidRDefault="001E1D27" w:rsidP="001E1D27">
            <w:pPr>
              <w:rPr>
                <w:rFonts w:ascii="Arial" w:hAnsi="Arial" w:cs="Arial"/>
                <w:i/>
                <w:sz w:val="20"/>
                <w:lang w:bidi="hi-IN"/>
              </w:rPr>
            </w:pPr>
            <w:r w:rsidRPr="001E1D27">
              <w:rPr>
                <w:rFonts w:ascii="Arial" w:hAnsi="Arial" w:cs="Arial"/>
                <w:i/>
                <w:sz w:val="20"/>
                <w:lang w:bidi="hi-IN"/>
              </w:rPr>
              <w:t>Lineárne zmeny činného výkonu jednotiek na výrobu elektriny sa uplatňujú v prípade plánovane</w:t>
            </w:r>
            <w:r w:rsidR="001B2DAE">
              <w:rPr>
                <w:rFonts w:ascii="Arial" w:hAnsi="Arial" w:cs="Arial"/>
                <w:i/>
                <w:sz w:val="20"/>
                <w:lang w:bidi="hi-IN"/>
              </w:rPr>
              <w:t xml:space="preserve">j  zmeny výroby. Čo sa rozumie </w:t>
            </w:r>
            <w:r w:rsidRPr="001E1D27">
              <w:rPr>
                <w:rFonts w:ascii="Arial" w:hAnsi="Arial" w:cs="Arial"/>
                <w:i/>
                <w:sz w:val="20"/>
                <w:lang w:bidi="hi-IN"/>
              </w:rPr>
              <w:t>plánovanou zmenou výroby? Budú umožnené neplánované zmeny výroby pri riadení bilančnej skupiny, alebo výpadku zariadení?</w:t>
            </w:r>
          </w:p>
          <w:p w14:paraId="3AB28345" w14:textId="0415225E" w:rsidR="004A7ED8" w:rsidRPr="00954185" w:rsidRDefault="001E1D27" w:rsidP="001E1D27">
            <w:pPr>
              <w:rPr>
                <w:rFonts w:ascii="Arial" w:hAnsi="Arial" w:cs="Arial"/>
                <w:i/>
                <w:sz w:val="20"/>
                <w:szCs w:val="20"/>
                <w:lang w:bidi="hi-IN"/>
              </w:rPr>
            </w:pPr>
            <w:r w:rsidRPr="001E1D27">
              <w:rPr>
                <w:rFonts w:ascii="Arial" w:hAnsi="Arial" w:cs="Arial"/>
                <w:i/>
                <w:sz w:val="20"/>
                <w:lang w:bidi="hi-IN"/>
              </w:rPr>
              <w:t>V prípade, že neplánované zmeny výroby nebudú umožnené, akým spôsobom budú subjektu zúčtovania kompenzované vyvolané náklady na odchýlku, ktorú nebude možné riadiť neplánovanými zmenami výroby?</w:t>
            </w:r>
          </w:p>
        </w:tc>
        <w:tc>
          <w:tcPr>
            <w:tcW w:w="2977" w:type="dxa"/>
          </w:tcPr>
          <w:p w14:paraId="6D62BA7E" w14:textId="1F3C4F11" w:rsidR="00BB476F" w:rsidRDefault="001E1D27" w:rsidP="000266AA">
            <w:pPr>
              <w:pStyle w:val="Zkladntext"/>
              <w:rPr>
                <w:rFonts w:ascii="Arial" w:hAnsi="Arial" w:cs="Arial"/>
                <w:szCs w:val="20"/>
                <w:lang w:bidi="hi-IN"/>
              </w:rPr>
            </w:pPr>
            <w:r w:rsidRPr="001E1D27">
              <w:rPr>
                <w:rFonts w:ascii="Arial" w:eastAsiaTheme="majorEastAsia" w:hAnsi="Arial" w:cs="Arial"/>
                <w:iCs/>
                <w:lang w:bidi="hi-IN"/>
                <w14:ligatures w14:val="standard"/>
              </w:rPr>
              <w:t>Neumožnenie neplánovaných zmien výroby jednotiek na výrobu elektriny kedykoľvek v</w:t>
            </w:r>
            <w:r w:rsidR="001B2DAE">
              <w:rPr>
                <w:rFonts w:ascii="Arial" w:eastAsiaTheme="majorEastAsia" w:hAnsi="Arial" w:cs="Arial"/>
                <w:iCs/>
                <w:lang w:bidi="hi-IN"/>
                <w14:ligatures w14:val="standard"/>
              </w:rPr>
              <w:t> </w:t>
            </w:r>
            <w:r w:rsidRPr="001E1D27">
              <w:rPr>
                <w:rFonts w:ascii="Arial" w:eastAsiaTheme="majorEastAsia" w:hAnsi="Arial" w:cs="Arial"/>
                <w:iCs/>
                <w:lang w:bidi="hi-IN"/>
                <w14:ligatures w14:val="standard"/>
              </w:rPr>
              <w:t>čase môže spôsobovať zvýšené náklady na odchýlku subjektu zúčtovania.</w:t>
            </w:r>
          </w:p>
          <w:p w14:paraId="19D990B8" w14:textId="77777777" w:rsidR="00BB476F" w:rsidRPr="00BB476F" w:rsidRDefault="00BB476F" w:rsidP="00BB476F">
            <w:pPr>
              <w:rPr>
                <w:lang w:bidi="hi-IN"/>
              </w:rPr>
            </w:pPr>
          </w:p>
          <w:p w14:paraId="4E96D595" w14:textId="77777777" w:rsidR="00BB476F" w:rsidRPr="00BB476F" w:rsidRDefault="00BB476F" w:rsidP="00BB476F">
            <w:pPr>
              <w:rPr>
                <w:lang w:bidi="hi-IN"/>
              </w:rPr>
            </w:pPr>
          </w:p>
          <w:p w14:paraId="28FCA149" w14:textId="77777777" w:rsidR="00BB476F" w:rsidRPr="00BB476F" w:rsidRDefault="00BB476F" w:rsidP="00BB476F">
            <w:pPr>
              <w:rPr>
                <w:lang w:bidi="hi-IN"/>
              </w:rPr>
            </w:pPr>
          </w:p>
          <w:p w14:paraId="4A402E1D" w14:textId="77777777" w:rsidR="00BB476F" w:rsidRPr="00BB476F" w:rsidRDefault="00BB476F" w:rsidP="00BB476F">
            <w:pPr>
              <w:rPr>
                <w:lang w:bidi="hi-IN"/>
              </w:rPr>
            </w:pPr>
          </w:p>
          <w:p w14:paraId="6AB03F10" w14:textId="7EC442B6" w:rsidR="004A7ED8" w:rsidRPr="00BB476F" w:rsidRDefault="004A7ED8" w:rsidP="00BB476F">
            <w:pPr>
              <w:jc w:val="center"/>
              <w:rPr>
                <w:lang w:bidi="hi-IN"/>
              </w:rPr>
            </w:pPr>
          </w:p>
        </w:tc>
        <w:tc>
          <w:tcPr>
            <w:tcW w:w="5528" w:type="dxa"/>
          </w:tcPr>
          <w:p w14:paraId="7F995819" w14:textId="4070367F" w:rsidR="004A7ED8" w:rsidRPr="007F0CA5" w:rsidRDefault="001E1D27" w:rsidP="000329AF">
            <w:pPr>
              <w:pStyle w:val="Zkladntext"/>
              <w:ind w:left="179"/>
              <w:rPr>
                <w:rFonts w:ascii="Arial" w:hAnsi="Arial" w:cs="Arial"/>
                <w:szCs w:val="20"/>
                <w:lang w:bidi="hi-IN"/>
              </w:rPr>
            </w:pPr>
            <w:r w:rsidRPr="001E1D27">
              <w:rPr>
                <w:rFonts w:ascii="Arial" w:hAnsi="Arial" w:cs="Arial"/>
                <w:szCs w:val="20"/>
                <w:lang w:bidi="hi-IN"/>
              </w:rPr>
              <w:t>Plánovaná zmena výroby je zmena výroby vyplývajúca z poslednej platnej prípravy prevádzky. Opatrenie sa netýka náhodných neplánovaných zmien výroby.</w:t>
            </w:r>
          </w:p>
        </w:tc>
        <w:tc>
          <w:tcPr>
            <w:tcW w:w="1843" w:type="dxa"/>
          </w:tcPr>
          <w:p w14:paraId="38D5BFAD" w14:textId="6D5E91E2" w:rsidR="004A7ED8" w:rsidRPr="004A7ED8" w:rsidRDefault="00D4331A" w:rsidP="008436A2">
            <w:pPr>
              <w:pStyle w:val="Zkladntext"/>
              <w:jc w:val="center"/>
              <w:rPr>
                <w:rFonts w:ascii="Arial" w:hAnsi="Arial" w:cs="Arial"/>
                <w:szCs w:val="20"/>
              </w:rPr>
            </w:pPr>
            <w:r w:rsidRPr="004A7ED8">
              <w:rPr>
                <w:rFonts w:ascii="Arial" w:hAnsi="Arial" w:cs="Arial"/>
                <w:szCs w:val="20"/>
              </w:rPr>
              <w:t>[</w:t>
            </w:r>
            <w:r w:rsidR="001E1D27">
              <w:rPr>
                <w:rFonts w:ascii="Arial" w:hAnsi="Arial" w:cs="Arial"/>
                <w:szCs w:val="20"/>
              </w:rPr>
              <w:t>NIE</w:t>
            </w:r>
            <w:r w:rsidRPr="004A7ED8">
              <w:rPr>
                <w:rFonts w:ascii="Arial" w:hAnsi="Arial" w:cs="Arial"/>
                <w:szCs w:val="20"/>
              </w:rPr>
              <w:t>]</w:t>
            </w:r>
          </w:p>
        </w:tc>
      </w:tr>
      <w:tr w:rsidR="00D42098" w:rsidRPr="0027105B" w14:paraId="380E2E4C" w14:textId="77777777" w:rsidTr="00AF263D">
        <w:tc>
          <w:tcPr>
            <w:tcW w:w="938" w:type="dxa"/>
          </w:tcPr>
          <w:p w14:paraId="45806C84" w14:textId="5A8E12CA" w:rsidR="00D42098" w:rsidRDefault="007A67F2" w:rsidP="00D42098">
            <w:pPr>
              <w:jc w:val="center"/>
              <w:rPr>
                <w:rFonts w:ascii="Arial" w:hAnsi="Arial" w:cs="Arial"/>
                <w:b/>
                <w:sz w:val="20"/>
                <w:szCs w:val="20"/>
              </w:rPr>
            </w:pPr>
            <w:r>
              <w:rPr>
                <w:rFonts w:ascii="Arial" w:hAnsi="Arial" w:cs="Arial"/>
                <w:b/>
                <w:sz w:val="20"/>
                <w:szCs w:val="20"/>
              </w:rPr>
              <w:t>Všetky články</w:t>
            </w:r>
          </w:p>
        </w:tc>
        <w:tc>
          <w:tcPr>
            <w:tcW w:w="3310" w:type="dxa"/>
          </w:tcPr>
          <w:p w14:paraId="6ACFCCEE" w14:textId="22AD16BB" w:rsidR="00D42098" w:rsidRPr="001C174A" w:rsidRDefault="007A67F2" w:rsidP="00D42098">
            <w:pPr>
              <w:rPr>
                <w:rFonts w:ascii="Arial" w:hAnsi="Arial" w:cs="Arial"/>
                <w:i/>
                <w:sz w:val="20"/>
                <w:lang w:bidi="hi-IN"/>
              </w:rPr>
            </w:pPr>
            <w:r>
              <w:rPr>
                <w:rFonts w:ascii="Arial" w:hAnsi="Arial" w:cs="Arial"/>
                <w:i/>
                <w:sz w:val="20"/>
                <w:lang w:bidi="hi-IN"/>
              </w:rPr>
              <w:t xml:space="preserve">Z akého dôvodu neboli </w:t>
            </w:r>
            <w:r w:rsidRPr="007A67F2">
              <w:rPr>
                <w:rFonts w:ascii="Arial" w:hAnsi="Arial" w:cs="Arial"/>
                <w:i/>
                <w:sz w:val="20"/>
                <w:lang w:bidi="hi-IN"/>
              </w:rPr>
              <w:t>lineárne zmeny činného výkonu jednotiek na výstupe zavedené aj pre odberné jednotky?</w:t>
            </w:r>
          </w:p>
        </w:tc>
        <w:tc>
          <w:tcPr>
            <w:tcW w:w="2977" w:type="dxa"/>
          </w:tcPr>
          <w:p w14:paraId="40F5C384" w14:textId="27C3BBB1" w:rsidR="00D42098" w:rsidRDefault="007A67F2" w:rsidP="00D42098">
            <w:pPr>
              <w:pStyle w:val="Zkladntext"/>
              <w:rPr>
                <w:rFonts w:ascii="Arial" w:eastAsiaTheme="majorEastAsia" w:hAnsi="Arial" w:cs="Arial"/>
                <w:iCs/>
                <w:lang w:bidi="hi-IN"/>
                <w14:ligatures w14:val="standard"/>
              </w:rPr>
            </w:pPr>
            <w:r w:rsidRPr="007A67F2">
              <w:rPr>
                <w:rFonts w:ascii="Arial" w:eastAsiaTheme="majorEastAsia" w:hAnsi="Arial" w:cs="Arial"/>
                <w:iCs/>
                <w:lang w:bidi="hi-IN"/>
                <w14:ligatures w14:val="standard"/>
              </w:rPr>
              <w:t>Článok 137 ods. 4 Nariadenia SOGL pojednáva okrem jednotiek na výrobu elektrickej energie aj o odberných jednotkách.</w:t>
            </w:r>
          </w:p>
        </w:tc>
        <w:tc>
          <w:tcPr>
            <w:tcW w:w="5528" w:type="dxa"/>
          </w:tcPr>
          <w:p w14:paraId="2F5A7EF0" w14:textId="1A6F6806" w:rsidR="00D42098" w:rsidRDefault="007A67F2" w:rsidP="000329AF">
            <w:pPr>
              <w:pStyle w:val="Zkladntext"/>
              <w:ind w:left="179"/>
              <w:rPr>
                <w:rFonts w:ascii="Arial" w:hAnsi="Arial" w:cs="Arial"/>
                <w:szCs w:val="20"/>
                <w:lang w:bidi="hi-IN"/>
              </w:rPr>
            </w:pPr>
            <w:r w:rsidRPr="007A67F2">
              <w:rPr>
                <w:rFonts w:ascii="Arial" w:hAnsi="Arial" w:cs="Arial"/>
                <w:szCs w:val="20"/>
                <w:lang w:bidi="hi-IN"/>
              </w:rPr>
              <w:t>Na základe našich analýz zmeny odberu neprispievajú k deterministickým odchýlkam frekvencie a FRCE.</w:t>
            </w:r>
          </w:p>
        </w:tc>
        <w:tc>
          <w:tcPr>
            <w:tcW w:w="1843" w:type="dxa"/>
          </w:tcPr>
          <w:p w14:paraId="3DC48AD0" w14:textId="0D973580" w:rsidR="00D42098" w:rsidRPr="004A7ED8" w:rsidRDefault="00D42098" w:rsidP="007A67F2">
            <w:pPr>
              <w:pStyle w:val="Zkladntext"/>
              <w:jc w:val="center"/>
              <w:rPr>
                <w:rFonts w:ascii="Arial" w:hAnsi="Arial" w:cs="Arial"/>
                <w:szCs w:val="20"/>
              </w:rPr>
            </w:pPr>
            <w:r w:rsidRPr="004A7ED8">
              <w:rPr>
                <w:rFonts w:ascii="Arial" w:hAnsi="Arial" w:cs="Arial"/>
                <w:szCs w:val="20"/>
              </w:rPr>
              <w:t>[</w:t>
            </w:r>
            <w:r w:rsidR="007A67F2">
              <w:rPr>
                <w:rFonts w:ascii="Arial" w:hAnsi="Arial" w:cs="Arial"/>
                <w:szCs w:val="20"/>
              </w:rPr>
              <w:t>NIE</w:t>
            </w:r>
            <w:r w:rsidRPr="004A7ED8">
              <w:rPr>
                <w:rFonts w:ascii="Arial" w:hAnsi="Arial" w:cs="Arial"/>
                <w:szCs w:val="20"/>
              </w:rPr>
              <w:t>]</w:t>
            </w:r>
          </w:p>
        </w:tc>
      </w:tr>
    </w:tbl>
    <w:p w14:paraId="1683B68F" w14:textId="77777777" w:rsidR="00493D64" w:rsidRPr="0027105B" w:rsidRDefault="00493D64" w:rsidP="007755BD">
      <w:pPr>
        <w:tabs>
          <w:tab w:val="left" w:pos="1598"/>
        </w:tabs>
        <w:rPr>
          <w:rFonts w:ascii="Arial" w:hAnsi="Arial" w:cs="Arial"/>
          <w:sz w:val="24"/>
        </w:rPr>
      </w:pPr>
    </w:p>
    <w:sectPr w:rsidR="00493D64" w:rsidRPr="0027105B" w:rsidSect="00AF263D">
      <w:headerReference w:type="default" r:id="rId8"/>
      <w:footerReference w:type="default" r:id="rId9"/>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B06AD" w14:textId="77777777" w:rsidR="00327ADD" w:rsidRDefault="00327ADD" w:rsidP="007755BD">
      <w:pPr>
        <w:spacing w:after="0" w:line="240" w:lineRule="auto"/>
      </w:pPr>
      <w:r>
        <w:separator/>
      </w:r>
    </w:p>
  </w:endnote>
  <w:endnote w:type="continuationSeparator" w:id="0">
    <w:p w14:paraId="16D02DAB" w14:textId="77777777" w:rsidR="00327ADD" w:rsidRDefault="00327ADD" w:rsidP="00775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84705" w14:textId="6A0103BE" w:rsidR="00596F6B" w:rsidRPr="006325E1" w:rsidRDefault="00AF263D" w:rsidP="003F6FF2">
    <w:pPr>
      <w:pStyle w:val="Pta"/>
      <w:jc w:val="both"/>
      <w:rPr>
        <w:i/>
        <w:sz w:val="20"/>
        <w:szCs w:val="20"/>
      </w:rPr>
    </w:pPr>
    <w:r>
      <w:tab/>
    </w:r>
    <w:r>
      <w:tab/>
    </w:r>
    <w:r>
      <w:tab/>
    </w:r>
    <w:r>
      <w:tab/>
    </w:r>
    <w:r>
      <w:tab/>
    </w:r>
    <w:r>
      <w:tab/>
    </w:r>
    <w:r w:rsidR="009C7FA6">
      <w:tab/>
    </w:r>
    <w:r w:rsidR="009C7FA6">
      <w:tab/>
    </w:r>
    <w:r w:rsidR="00596F6B" w:rsidRPr="006325E1">
      <w:rPr>
        <w:i/>
        <w:sz w:val="20"/>
        <w:szCs w:val="20"/>
      </w:rPr>
      <w:t xml:space="preserve">Strana </w:t>
    </w:r>
    <w:r w:rsidR="00596F6B" w:rsidRPr="006325E1">
      <w:rPr>
        <w:bCs/>
        <w:i/>
        <w:sz w:val="20"/>
        <w:szCs w:val="20"/>
      </w:rPr>
      <w:fldChar w:fldCharType="begin"/>
    </w:r>
    <w:r w:rsidR="00596F6B" w:rsidRPr="006325E1">
      <w:rPr>
        <w:bCs/>
        <w:i/>
        <w:sz w:val="20"/>
        <w:szCs w:val="20"/>
      </w:rPr>
      <w:instrText>PAGE  \* Arabic  \* MERGEFORMAT</w:instrText>
    </w:r>
    <w:r w:rsidR="00596F6B" w:rsidRPr="006325E1">
      <w:rPr>
        <w:bCs/>
        <w:i/>
        <w:sz w:val="20"/>
        <w:szCs w:val="20"/>
      </w:rPr>
      <w:fldChar w:fldCharType="separate"/>
    </w:r>
    <w:r>
      <w:rPr>
        <w:bCs/>
        <w:i/>
        <w:noProof/>
        <w:sz w:val="20"/>
        <w:szCs w:val="20"/>
      </w:rPr>
      <w:t>2</w:t>
    </w:r>
    <w:r w:rsidR="00596F6B" w:rsidRPr="006325E1">
      <w:rPr>
        <w:bCs/>
        <w:i/>
        <w:sz w:val="20"/>
        <w:szCs w:val="20"/>
      </w:rPr>
      <w:fldChar w:fldCharType="end"/>
    </w:r>
    <w:r w:rsidR="00596F6B" w:rsidRPr="006325E1">
      <w:rPr>
        <w:i/>
        <w:sz w:val="20"/>
        <w:szCs w:val="20"/>
      </w:rPr>
      <w:t xml:space="preserve"> z </w:t>
    </w:r>
    <w:r w:rsidR="00596F6B" w:rsidRPr="006325E1">
      <w:rPr>
        <w:bCs/>
        <w:i/>
        <w:sz w:val="20"/>
        <w:szCs w:val="20"/>
      </w:rPr>
      <w:fldChar w:fldCharType="begin"/>
    </w:r>
    <w:r w:rsidR="00596F6B" w:rsidRPr="006325E1">
      <w:rPr>
        <w:bCs/>
        <w:i/>
        <w:sz w:val="20"/>
        <w:szCs w:val="20"/>
      </w:rPr>
      <w:instrText>NUMPAGES  \* Arabic  \* MERGEFORMAT</w:instrText>
    </w:r>
    <w:r w:rsidR="00596F6B" w:rsidRPr="006325E1">
      <w:rPr>
        <w:bCs/>
        <w:i/>
        <w:sz w:val="20"/>
        <w:szCs w:val="20"/>
      </w:rPr>
      <w:fldChar w:fldCharType="separate"/>
    </w:r>
    <w:r>
      <w:rPr>
        <w:bCs/>
        <w:i/>
        <w:noProof/>
        <w:sz w:val="20"/>
        <w:szCs w:val="20"/>
      </w:rPr>
      <w:t>2</w:t>
    </w:r>
    <w:r w:rsidR="00596F6B" w:rsidRPr="006325E1">
      <w:rPr>
        <w:bCs/>
        <w:i/>
        <w:sz w:val="20"/>
        <w:szCs w:val="20"/>
      </w:rPr>
      <w:fldChar w:fldCharType="end"/>
    </w:r>
  </w:p>
  <w:p w14:paraId="2C8EAB52" w14:textId="77777777" w:rsidR="008609E3" w:rsidRDefault="008609E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CCF31" w14:textId="77777777" w:rsidR="00327ADD" w:rsidRDefault="00327ADD" w:rsidP="007755BD">
      <w:pPr>
        <w:spacing w:after="0" w:line="240" w:lineRule="auto"/>
      </w:pPr>
      <w:r>
        <w:separator/>
      </w:r>
    </w:p>
  </w:footnote>
  <w:footnote w:type="continuationSeparator" w:id="0">
    <w:p w14:paraId="13FC6C94" w14:textId="77777777" w:rsidR="00327ADD" w:rsidRDefault="00327ADD" w:rsidP="00775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B43C3" w14:textId="7383B691" w:rsidR="007755BD" w:rsidRDefault="007755BD">
    <w:pPr>
      <w:pStyle w:val="Hlavika"/>
    </w:pPr>
    <w:r w:rsidRPr="00AF0CD6">
      <w:rPr>
        <w:noProof/>
        <w:lang w:eastAsia="sk-SK"/>
      </w:rPr>
      <w:drawing>
        <wp:inline distT="0" distB="0" distL="0" distR="0" wp14:anchorId="11C14988" wp14:editId="3F2E9E87">
          <wp:extent cx="4787900" cy="543560"/>
          <wp:effectExtent l="0" t="0" r="0" b="8890"/>
          <wp:docPr id="1" name="Obrázok 3" descr="Oval text fareb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val text fareb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7900" cy="543560"/>
                  </a:xfrm>
                  <a:prstGeom prst="rect">
                    <a:avLst/>
                  </a:prstGeom>
                  <a:noFill/>
                  <a:ln>
                    <a:noFill/>
                  </a:ln>
                </pic:spPr>
              </pic:pic>
            </a:graphicData>
          </a:graphic>
        </wp:inline>
      </w:drawing>
    </w:r>
  </w:p>
  <w:p w14:paraId="5C133740" w14:textId="77777777" w:rsidR="007755BD" w:rsidRDefault="007755B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1662E"/>
    <w:multiLevelType w:val="hybridMultilevel"/>
    <w:tmpl w:val="DF020F68"/>
    <w:lvl w:ilvl="0" w:tplc="801E8104">
      <w:start w:val="1"/>
      <w:numFmt w:val="lowerLetter"/>
      <w:lvlText w:val="%1)"/>
      <w:lvlJc w:val="left"/>
      <w:pPr>
        <w:ind w:left="720" w:hanging="360"/>
      </w:pPr>
      <w:rPr>
        <w:rFonts w:asciiTheme="minorHAnsi" w:hAnsiTheme="minorHAnsi" w:cstheme="minorHAnsi" w:hint="default"/>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BF1559"/>
    <w:multiLevelType w:val="hybridMultilevel"/>
    <w:tmpl w:val="3CF4C9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EA8740B"/>
    <w:multiLevelType w:val="hybridMultilevel"/>
    <w:tmpl w:val="05969378"/>
    <w:lvl w:ilvl="0" w:tplc="CB32B844">
      <w:start w:val="5"/>
      <w:numFmt w:val="lowerLetter"/>
      <w:lvlText w:val="%1)"/>
      <w:lvlJc w:val="left"/>
      <w:pPr>
        <w:ind w:left="720" w:hanging="360"/>
      </w:pPr>
      <w:rPr>
        <w:rFonts w:ascii="Arial" w:hAnsi="Arial" w:cs="Arial"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E46096E"/>
    <w:multiLevelType w:val="hybridMultilevel"/>
    <w:tmpl w:val="AF086FC2"/>
    <w:lvl w:ilvl="0" w:tplc="041B0017">
      <w:start w:val="1"/>
      <w:numFmt w:val="lowerLetter"/>
      <w:lvlText w:val="%1)"/>
      <w:lvlJc w:val="left"/>
      <w:pPr>
        <w:ind w:left="720" w:hanging="360"/>
      </w:pPr>
    </w:lvl>
    <w:lvl w:ilvl="1" w:tplc="F07435D8">
      <w:start w:val="1"/>
      <w:numFmt w:val="lowerLetter"/>
      <w:lvlText w:val="%2)"/>
      <w:lvlJc w:val="left"/>
      <w:pPr>
        <w:ind w:left="1440" w:hanging="360"/>
      </w:pPr>
      <w:rPr>
        <w:rFonts w:asciiTheme="minorHAnsi" w:eastAsiaTheme="minorHAnsi" w:hAnsiTheme="minorHAnsi" w:cstheme="minorHAnsi"/>
      </w:rPr>
    </w:lvl>
    <w:lvl w:ilvl="2" w:tplc="D200F662">
      <w:start w:val="1"/>
      <w:numFmt w:val="lowerRoman"/>
      <w:lvlText w:val="%3)"/>
      <w:lvlJc w:val="right"/>
      <w:pPr>
        <w:ind w:left="2160" w:hanging="180"/>
      </w:pPr>
      <w:rPr>
        <w:rFonts w:asciiTheme="minorHAnsi" w:eastAsiaTheme="minorHAnsi" w:hAnsiTheme="minorHAnsi" w:cstheme="minorHAnsi"/>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AFA6A7E"/>
    <w:multiLevelType w:val="hybridMultilevel"/>
    <w:tmpl w:val="75281096"/>
    <w:lvl w:ilvl="0" w:tplc="CB04E450">
      <w:start w:val="3"/>
      <w:numFmt w:val="lowerLetter"/>
      <w:lvlText w:val="%1)"/>
      <w:lvlJc w:val="left"/>
      <w:pPr>
        <w:ind w:left="720" w:hanging="360"/>
      </w:pPr>
      <w:rPr>
        <w:rFonts w:asciiTheme="minorHAnsi" w:hAnsiTheme="minorHAnsi" w:cstheme="minorHAnsi"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7515D36"/>
    <w:multiLevelType w:val="hybridMultilevel"/>
    <w:tmpl w:val="38E057BC"/>
    <w:lvl w:ilvl="0" w:tplc="4EF43F0E">
      <w:start w:val="5"/>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EE2746F"/>
    <w:multiLevelType w:val="hybridMultilevel"/>
    <w:tmpl w:val="D5DE4C16"/>
    <w:lvl w:ilvl="0" w:tplc="BE7C26CA">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0A3445C"/>
    <w:multiLevelType w:val="hybridMultilevel"/>
    <w:tmpl w:val="85D848C0"/>
    <w:lvl w:ilvl="0" w:tplc="041B0017">
      <w:start w:val="1"/>
      <w:numFmt w:val="lowerLetter"/>
      <w:lvlText w:val="%1)"/>
      <w:lvlJc w:val="left"/>
      <w:pPr>
        <w:ind w:left="720" w:hanging="360"/>
      </w:pPr>
      <w:rPr>
        <w:rFonts w:hint="default"/>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6AF49CF"/>
    <w:multiLevelType w:val="hybridMultilevel"/>
    <w:tmpl w:val="12D26E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FD2648"/>
    <w:multiLevelType w:val="hybridMultilevel"/>
    <w:tmpl w:val="A2C04ED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74805E1"/>
    <w:multiLevelType w:val="hybridMultilevel"/>
    <w:tmpl w:val="5BE276B0"/>
    <w:lvl w:ilvl="0" w:tplc="E4C05010">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E402370"/>
    <w:multiLevelType w:val="hybridMultilevel"/>
    <w:tmpl w:val="732E3CA6"/>
    <w:lvl w:ilvl="0" w:tplc="D68C3B1C">
      <w:start w:val="3"/>
      <w:numFmt w:val="lowerLetter"/>
      <w:lvlText w:val="%1)"/>
      <w:lvlJc w:val="left"/>
      <w:pPr>
        <w:ind w:left="720" w:hanging="360"/>
      </w:pPr>
      <w:rPr>
        <w:rFonts w:asciiTheme="minorHAnsi" w:hAnsiTheme="minorHAnsi" w:cstheme="minorHAnsi"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4"/>
  </w:num>
  <w:num w:numId="5">
    <w:abstractNumId w:val="9"/>
  </w:num>
  <w:num w:numId="6">
    <w:abstractNumId w:val="10"/>
  </w:num>
  <w:num w:numId="7">
    <w:abstractNumId w:val="5"/>
  </w:num>
  <w:num w:numId="8">
    <w:abstractNumId w:val="3"/>
  </w:num>
  <w:num w:numId="9">
    <w:abstractNumId w:val="6"/>
  </w:num>
  <w:num w:numId="10">
    <w:abstractNumId w:val="7"/>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BD"/>
    <w:rsid w:val="000266AA"/>
    <w:rsid w:val="000329AF"/>
    <w:rsid w:val="000464C5"/>
    <w:rsid w:val="000A2D66"/>
    <w:rsid w:val="000A4445"/>
    <w:rsid w:val="000D3398"/>
    <w:rsid w:val="000F5957"/>
    <w:rsid w:val="00145189"/>
    <w:rsid w:val="001536D6"/>
    <w:rsid w:val="00162CF3"/>
    <w:rsid w:val="00192F9A"/>
    <w:rsid w:val="001B2DAE"/>
    <w:rsid w:val="001C174A"/>
    <w:rsid w:val="001E1D27"/>
    <w:rsid w:val="002115DD"/>
    <w:rsid w:val="0027105B"/>
    <w:rsid w:val="00327ADD"/>
    <w:rsid w:val="003440E3"/>
    <w:rsid w:val="003A6102"/>
    <w:rsid w:val="003C5CB3"/>
    <w:rsid w:val="003F6FF2"/>
    <w:rsid w:val="00415B39"/>
    <w:rsid w:val="00443261"/>
    <w:rsid w:val="0047594F"/>
    <w:rsid w:val="00490683"/>
    <w:rsid w:val="00493D64"/>
    <w:rsid w:val="00493E17"/>
    <w:rsid w:val="004A7ED8"/>
    <w:rsid w:val="004B74D2"/>
    <w:rsid w:val="004C78A6"/>
    <w:rsid w:val="00553AC5"/>
    <w:rsid w:val="00596F6B"/>
    <w:rsid w:val="005A76C9"/>
    <w:rsid w:val="005C1F20"/>
    <w:rsid w:val="005C7A85"/>
    <w:rsid w:val="005D5655"/>
    <w:rsid w:val="00611B75"/>
    <w:rsid w:val="00636CDB"/>
    <w:rsid w:val="00660952"/>
    <w:rsid w:val="00660DFD"/>
    <w:rsid w:val="0067091F"/>
    <w:rsid w:val="006B551B"/>
    <w:rsid w:val="006B6004"/>
    <w:rsid w:val="006B7C18"/>
    <w:rsid w:val="006C15C5"/>
    <w:rsid w:val="006C639F"/>
    <w:rsid w:val="006D1DD6"/>
    <w:rsid w:val="006F77D6"/>
    <w:rsid w:val="00733CD1"/>
    <w:rsid w:val="00747F4A"/>
    <w:rsid w:val="00755506"/>
    <w:rsid w:val="00762946"/>
    <w:rsid w:val="007755BD"/>
    <w:rsid w:val="007952AC"/>
    <w:rsid w:val="007955F2"/>
    <w:rsid w:val="007A1232"/>
    <w:rsid w:val="007A67F2"/>
    <w:rsid w:val="007B5A03"/>
    <w:rsid w:val="007F0CA5"/>
    <w:rsid w:val="008338EB"/>
    <w:rsid w:val="008436A2"/>
    <w:rsid w:val="008609E3"/>
    <w:rsid w:val="008B2261"/>
    <w:rsid w:val="00954185"/>
    <w:rsid w:val="009C3F57"/>
    <w:rsid w:val="009C7FA6"/>
    <w:rsid w:val="00A1535B"/>
    <w:rsid w:val="00A610EE"/>
    <w:rsid w:val="00AF263D"/>
    <w:rsid w:val="00B64FD9"/>
    <w:rsid w:val="00B94ACA"/>
    <w:rsid w:val="00BB476F"/>
    <w:rsid w:val="00BE73A5"/>
    <w:rsid w:val="00C00BCA"/>
    <w:rsid w:val="00C475C3"/>
    <w:rsid w:val="00C47ACB"/>
    <w:rsid w:val="00C82D04"/>
    <w:rsid w:val="00C84A7A"/>
    <w:rsid w:val="00C9048C"/>
    <w:rsid w:val="00D15B17"/>
    <w:rsid w:val="00D32928"/>
    <w:rsid w:val="00D42098"/>
    <w:rsid w:val="00D4331A"/>
    <w:rsid w:val="00D53D3B"/>
    <w:rsid w:val="00D6116C"/>
    <w:rsid w:val="00D6708F"/>
    <w:rsid w:val="00D94971"/>
    <w:rsid w:val="00DA2032"/>
    <w:rsid w:val="00E03EC0"/>
    <w:rsid w:val="00E40B22"/>
    <w:rsid w:val="00E46FBC"/>
    <w:rsid w:val="00E71B84"/>
    <w:rsid w:val="00E72322"/>
    <w:rsid w:val="00E846B3"/>
    <w:rsid w:val="00EC3287"/>
    <w:rsid w:val="00EC3D70"/>
    <w:rsid w:val="00ED4CEC"/>
    <w:rsid w:val="00F17B1F"/>
    <w:rsid w:val="00F23641"/>
    <w:rsid w:val="00FC47A0"/>
    <w:rsid w:val="00FF5F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6A2BEC"/>
  <w15:chartTrackingRefBased/>
  <w15:docId w15:val="{94572942-4877-4D20-BD29-DC261E4A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55BD"/>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odtitul">
    <w:name w:val="Subtitle"/>
    <w:basedOn w:val="Normlny"/>
    <w:next w:val="Normlny"/>
    <w:link w:val="PodtitulChar"/>
    <w:uiPriority w:val="11"/>
    <w:qFormat/>
    <w:rsid w:val="007755BD"/>
    <w:pPr>
      <w:numPr>
        <w:ilvl w:val="1"/>
      </w:numPr>
    </w:pPr>
    <w:rPr>
      <w:rFonts w:eastAsiaTheme="majorEastAsia" w:cstheme="majorBidi"/>
      <w:iCs/>
      <w:color w:val="50637D" w:themeColor="text2" w:themeTint="E6"/>
      <w:sz w:val="32"/>
      <w:szCs w:val="24"/>
      <w:lang w:bidi="hi-IN"/>
      <w14:ligatures w14:val="standard"/>
    </w:rPr>
  </w:style>
  <w:style w:type="character" w:customStyle="1" w:styleId="PodtitulChar">
    <w:name w:val="Podtitul Char"/>
    <w:basedOn w:val="Predvolenpsmoodseku"/>
    <w:link w:val="Podtitul"/>
    <w:uiPriority w:val="11"/>
    <w:rsid w:val="007755BD"/>
    <w:rPr>
      <w:rFonts w:eastAsiaTheme="majorEastAsia" w:cstheme="majorBidi"/>
      <w:iCs/>
      <w:color w:val="50637D" w:themeColor="text2" w:themeTint="E6"/>
      <w:sz w:val="32"/>
      <w:szCs w:val="24"/>
      <w:lang w:bidi="hi-IN"/>
      <w14:ligatures w14:val="standard"/>
    </w:rPr>
  </w:style>
  <w:style w:type="paragraph" w:styleId="Odsekzoznamu">
    <w:name w:val="List Paragraph"/>
    <w:aliases w:val="Odstavec1,Párrafo de lista,Puce,EG Bullet 1"/>
    <w:basedOn w:val="Normlny"/>
    <w:link w:val="OdsekzoznamuChar"/>
    <w:uiPriority w:val="34"/>
    <w:qFormat/>
    <w:rsid w:val="007755BD"/>
    <w:pPr>
      <w:spacing w:line="240" w:lineRule="auto"/>
      <w:ind w:left="720" w:hanging="288"/>
      <w:contextualSpacing/>
    </w:pPr>
  </w:style>
  <w:style w:type="paragraph" w:styleId="Zkladntext">
    <w:name w:val="Body Text"/>
    <w:basedOn w:val="Normlny"/>
    <w:link w:val="ZkladntextChar"/>
    <w:uiPriority w:val="99"/>
    <w:unhideWhenUsed/>
    <w:qFormat/>
    <w:rsid w:val="007755BD"/>
    <w:pPr>
      <w:spacing w:after="120"/>
    </w:pPr>
    <w:rPr>
      <w:sz w:val="20"/>
    </w:rPr>
  </w:style>
  <w:style w:type="character" w:customStyle="1" w:styleId="ZkladntextChar">
    <w:name w:val="Základný text Char"/>
    <w:basedOn w:val="Predvolenpsmoodseku"/>
    <w:link w:val="Zkladntext"/>
    <w:uiPriority w:val="99"/>
    <w:rsid w:val="007755BD"/>
    <w:rPr>
      <w:sz w:val="20"/>
    </w:rPr>
  </w:style>
  <w:style w:type="character" w:styleId="Odkaznakomentr">
    <w:name w:val="annotation reference"/>
    <w:basedOn w:val="Predvolenpsmoodseku"/>
    <w:uiPriority w:val="99"/>
    <w:semiHidden/>
    <w:unhideWhenUsed/>
    <w:rsid w:val="007755BD"/>
    <w:rPr>
      <w:sz w:val="16"/>
      <w:szCs w:val="16"/>
    </w:rPr>
  </w:style>
  <w:style w:type="paragraph" w:styleId="Textkomentra">
    <w:name w:val="annotation text"/>
    <w:basedOn w:val="Normlny"/>
    <w:link w:val="TextkomentraChar"/>
    <w:uiPriority w:val="99"/>
    <w:unhideWhenUsed/>
    <w:rsid w:val="007755BD"/>
    <w:pPr>
      <w:spacing w:line="240" w:lineRule="auto"/>
    </w:pPr>
    <w:rPr>
      <w:sz w:val="20"/>
      <w:szCs w:val="20"/>
    </w:rPr>
  </w:style>
  <w:style w:type="character" w:customStyle="1" w:styleId="TextkomentraChar">
    <w:name w:val="Text komentára Char"/>
    <w:basedOn w:val="Predvolenpsmoodseku"/>
    <w:link w:val="Textkomentra"/>
    <w:uiPriority w:val="99"/>
    <w:rsid w:val="007755BD"/>
    <w:rPr>
      <w:sz w:val="20"/>
      <w:szCs w:val="20"/>
    </w:rPr>
  </w:style>
  <w:style w:type="table" w:styleId="Mriekatabuky">
    <w:name w:val="Table Grid"/>
    <w:basedOn w:val="Normlnatabuka"/>
    <w:uiPriority w:val="39"/>
    <w:rsid w:val="00775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7755B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755BD"/>
    <w:rPr>
      <w:rFonts w:ascii="Segoe UI" w:hAnsi="Segoe UI" w:cs="Segoe UI"/>
      <w:sz w:val="18"/>
      <w:szCs w:val="18"/>
    </w:rPr>
  </w:style>
  <w:style w:type="paragraph" w:styleId="Hlavika">
    <w:name w:val="header"/>
    <w:basedOn w:val="Normlny"/>
    <w:link w:val="HlavikaChar"/>
    <w:uiPriority w:val="99"/>
    <w:unhideWhenUsed/>
    <w:rsid w:val="007755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755BD"/>
  </w:style>
  <w:style w:type="paragraph" w:styleId="Pta">
    <w:name w:val="footer"/>
    <w:basedOn w:val="Normlny"/>
    <w:link w:val="PtaChar"/>
    <w:uiPriority w:val="99"/>
    <w:unhideWhenUsed/>
    <w:rsid w:val="007755BD"/>
    <w:pPr>
      <w:tabs>
        <w:tab w:val="center" w:pos="4536"/>
        <w:tab w:val="right" w:pos="9072"/>
      </w:tabs>
      <w:spacing w:after="0" w:line="240" w:lineRule="auto"/>
    </w:pPr>
  </w:style>
  <w:style w:type="character" w:customStyle="1" w:styleId="PtaChar">
    <w:name w:val="Päta Char"/>
    <w:basedOn w:val="Predvolenpsmoodseku"/>
    <w:link w:val="Pta"/>
    <w:uiPriority w:val="99"/>
    <w:rsid w:val="007755BD"/>
  </w:style>
  <w:style w:type="paragraph" w:styleId="Predmetkomentra">
    <w:name w:val="annotation subject"/>
    <w:basedOn w:val="Textkomentra"/>
    <w:next w:val="Textkomentra"/>
    <w:link w:val="PredmetkomentraChar"/>
    <w:uiPriority w:val="99"/>
    <w:semiHidden/>
    <w:unhideWhenUsed/>
    <w:rsid w:val="007755BD"/>
    <w:rPr>
      <w:b/>
      <w:bCs/>
    </w:rPr>
  </w:style>
  <w:style w:type="character" w:customStyle="1" w:styleId="PredmetkomentraChar">
    <w:name w:val="Predmet komentára Char"/>
    <w:basedOn w:val="TextkomentraChar"/>
    <w:link w:val="Predmetkomentra"/>
    <w:uiPriority w:val="99"/>
    <w:semiHidden/>
    <w:rsid w:val="007755BD"/>
    <w:rPr>
      <w:b/>
      <w:bCs/>
      <w:sz w:val="20"/>
      <w:szCs w:val="20"/>
    </w:rPr>
  </w:style>
  <w:style w:type="character" w:customStyle="1" w:styleId="OdsekzoznamuChar">
    <w:name w:val="Odsek zoznamu Char"/>
    <w:aliases w:val="Odstavec1 Char,Párrafo de lista Char,Puce Char,EG Bullet 1 Char"/>
    <w:basedOn w:val="Predvolenpsmoodseku"/>
    <w:link w:val="Odsekzoznamu"/>
    <w:uiPriority w:val="34"/>
    <w:rsid w:val="00954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9F482-5986-4128-82D0-8ED831FAF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2791</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Slovenská elektrizačná prenosová sústava, a.s.</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SEPS</dc:creator>
  <cp:keywords/>
  <dc:description/>
  <cp:lastModifiedBy>Koma Peter</cp:lastModifiedBy>
  <cp:revision>2</cp:revision>
  <cp:lastPrinted>2018-09-10T12:54:00Z</cp:lastPrinted>
  <dcterms:created xsi:type="dcterms:W3CDTF">2018-09-12T06:56:00Z</dcterms:created>
  <dcterms:modified xsi:type="dcterms:W3CDTF">2018-09-12T06:56:00Z</dcterms:modified>
</cp:coreProperties>
</file>